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3A91" w14:textId="23C1342D" w:rsidR="07A26C70" w:rsidRDefault="07A26C70" w:rsidP="5D90EF81">
      <w:pPr>
        <w:spacing w:before="240" w:after="240" w:line="240" w:lineRule="auto"/>
        <w:jc w:val="center"/>
        <w:rPr>
          <w:rFonts w:cs="Calibri"/>
          <w:b/>
          <w:bCs/>
          <w:color w:val="000000" w:themeColor="text1"/>
          <w:sz w:val="40"/>
          <w:szCs w:val="40"/>
          <w:lang w:val="en-GB"/>
        </w:rPr>
      </w:pPr>
      <w:r w:rsidRPr="5D90EF81">
        <w:rPr>
          <w:rFonts w:cs="Calibri"/>
          <w:b/>
          <w:bCs/>
          <w:color w:val="000000" w:themeColor="text1"/>
          <w:sz w:val="40"/>
          <w:szCs w:val="40"/>
          <w:lang w:val="en-GB"/>
        </w:rPr>
        <w:t>Exploiting hybrid modelling strategies for predicting intestinal solubility</w:t>
      </w:r>
    </w:p>
    <w:p w14:paraId="4C0EDBAC" w14:textId="24CD22D1" w:rsidR="00166F77" w:rsidRPr="002C01BD" w:rsidRDefault="0F0F8FA1" w:rsidP="5D90EF81">
      <w:pPr>
        <w:autoSpaceDE w:val="0"/>
        <w:autoSpaceDN w:val="0"/>
        <w:adjustRightInd w:val="0"/>
        <w:spacing w:before="120" w:after="120" w:line="240" w:lineRule="auto"/>
        <w:jc w:val="center"/>
        <w:rPr>
          <w:rFonts w:cs="Calibri"/>
          <w:color w:val="000000" w:themeColor="text1"/>
          <w:sz w:val="24"/>
          <w:szCs w:val="24"/>
        </w:rPr>
      </w:pPr>
      <w:r w:rsidRPr="002C01BD">
        <w:rPr>
          <w:rFonts w:cs="Calibri"/>
          <w:color w:val="000000" w:themeColor="text1"/>
          <w:sz w:val="24"/>
          <w:szCs w:val="24"/>
        </w:rPr>
        <w:t>Marco Brendolan</w:t>
      </w:r>
      <w:r w:rsidR="16384D9D" w:rsidRPr="002C01BD">
        <w:rPr>
          <w:rFonts w:cs="Calibri"/>
          <w:color w:val="000000" w:themeColor="text1"/>
          <w:sz w:val="24"/>
          <w:szCs w:val="24"/>
        </w:rPr>
        <w:t xml:space="preserve"> </w:t>
      </w:r>
      <w:r w:rsidRPr="002C01BD">
        <w:rPr>
          <w:rFonts w:cs="Calibri"/>
          <w:i/>
          <w:iCs/>
          <w:color w:val="000000" w:themeColor="text1"/>
          <w:sz w:val="24"/>
          <w:szCs w:val="24"/>
          <w:vertAlign w:val="superscript"/>
        </w:rPr>
        <w:t>a</w:t>
      </w:r>
      <w:r w:rsidRPr="002C01BD">
        <w:rPr>
          <w:rFonts w:cs="Calibri"/>
          <w:color w:val="000000" w:themeColor="text1"/>
          <w:sz w:val="24"/>
          <w:szCs w:val="24"/>
        </w:rPr>
        <w:t xml:space="preserve">, Francesca Cenci </w:t>
      </w:r>
      <w:r w:rsidRPr="002C01BD">
        <w:rPr>
          <w:rFonts w:cs="Calibri"/>
          <w:i/>
          <w:iCs/>
          <w:color w:val="000000" w:themeColor="text1"/>
          <w:sz w:val="24"/>
          <w:szCs w:val="24"/>
          <w:vertAlign w:val="superscript"/>
        </w:rPr>
        <w:t>b</w:t>
      </w:r>
      <w:r w:rsidRPr="002C01BD">
        <w:rPr>
          <w:rFonts w:cs="Calibri"/>
          <w:color w:val="000000" w:themeColor="text1"/>
          <w:sz w:val="24"/>
          <w:szCs w:val="24"/>
        </w:rPr>
        <w:t xml:space="preserve">, Konstantinos </w:t>
      </w:r>
      <w:proofErr w:type="spellStart"/>
      <w:r w:rsidRPr="002C01BD">
        <w:rPr>
          <w:rFonts w:cs="Calibri"/>
          <w:color w:val="000000" w:themeColor="text1"/>
          <w:sz w:val="24"/>
          <w:szCs w:val="24"/>
        </w:rPr>
        <w:t>Stamatopoulos</w:t>
      </w:r>
      <w:proofErr w:type="spellEnd"/>
      <w:r w:rsidRPr="002C01BD">
        <w:rPr>
          <w:rFonts w:cs="Calibri"/>
          <w:color w:val="000000" w:themeColor="text1"/>
          <w:sz w:val="24"/>
          <w:szCs w:val="24"/>
          <w:vertAlign w:val="superscript"/>
        </w:rPr>
        <w:t xml:space="preserve"> </w:t>
      </w:r>
      <w:r w:rsidRPr="002C01BD">
        <w:rPr>
          <w:rFonts w:cs="Calibri"/>
          <w:i/>
          <w:iCs/>
          <w:color w:val="000000" w:themeColor="text1"/>
          <w:sz w:val="24"/>
          <w:szCs w:val="24"/>
          <w:vertAlign w:val="superscript"/>
        </w:rPr>
        <w:t>b</w:t>
      </w:r>
      <w:r w:rsidRPr="002C01BD">
        <w:rPr>
          <w:rFonts w:cs="Calibri"/>
          <w:color w:val="000000" w:themeColor="text1"/>
          <w:sz w:val="24"/>
          <w:szCs w:val="24"/>
        </w:rPr>
        <w:t xml:space="preserve">, Fabrizio Bezzo </w:t>
      </w:r>
      <w:r w:rsidRPr="002C01BD">
        <w:rPr>
          <w:rFonts w:cs="Calibri"/>
          <w:i/>
          <w:iCs/>
          <w:color w:val="000000" w:themeColor="text1"/>
          <w:sz w:val="24"/>
          <w:szCs w:val="24"/>
          <w:vertAlign w:val="superscript"/>
        </w:rPr>
        <w:t>a</w:t>
      </w:r>
      <w:r w:rsidRPr="002C01BD">
        <w:rPr>
          <w:rFonts w:cs="Calibri"/>
          <w:color w:val="000000" w:themeColor="text1"/>
          <w:sz w:val="24"/>
          <w:szCs w:val="24"/>
        </w:rPr>
        <w:t xml:space="preserve">, and Pierantonio </w:t>
      </w:r>
      <w:proofErr w:type="spellStart"/>
      <w:r w:rsidRPr="002C01BD">
        <w:rPr>
          <w:rFonts w:cs="Calibri"/>
          <w:color w:val="000000" w:themeColor="text1"/>
          <w:sz w:val="24"/>
          <w:szCs w:val="24"/>
        </w:rPr>
        <w:t>Facco</w:t>
      </w:r>
      <w:r w:rsidRPr="002C01BD">
        <w:rPr>
          <w:rFonts w:cs="Calibri"/>
          <w:i/>
          <w:iCs/>
          <w:color w:val="000000" w:themeColor="text1"/>
          <w:sz w:val="24"/>
          <w:szCs w:val="24"/>
          <w:vertAlign w:val="superscript"/>
        </w:rPr>
        <w:t>a</w:t>
      </w:r>
      <w:proofErr w:type="spellEnd"/>
      <w:r w:rsidRPr="002C01BD">
        <w:rPr>
          <w:rFonts w:cs="Calibri"/>
          <w:color w:val="000000" w:themeColor="text1"/>
          <w:sz w:val="24"/>
          <w:szCs w:val="24"/>
          <w:vertAlign w:val="superscript"/>
        </w:rPr>
        <w:t>*</w:t>
      </w:r>
    </w:p>
    <w:p w14:paraId="4B181536" w14:textId="1342AB2E" w:rsidR="00166F77" w:rsidRPr="002C01BD" w:rsidRDefault="00166F77" w:rsidP="5D90EF81">
      <w:pPr>
        <w:autoSpaceDE w:val="0"/>
        <w:autoSpaceDN w:val="0"/>
        <w:adjustRightInd w:val="0"/>
        <w:spacing w:before="120" w:after="120" w:line="240" w:lineRule="auto"/>
        <w:jc w:val="center"/>
        <w:rPr>
          <w:rFonts w:cs="Calibri"/>
          <w:color w:val="000000"/>
          <w:sz w:val="24"/>
          <w:szCs w:val="24"/>
        </w:rPr>
      </w:pPr>
    </w:p>
    <w:p w14:paraId="7DEBC521" w14:textId="6A9516FD" w:rsidR="2613C421" w:rsidRDefault="2613C421" w:rsidP="5D90EF81">
      <w:pPr>
        <w:spacing w:after="0" w:line="240" w:lineRule="auto"/>
        <w:jc w:val="center"/>
        <w:rPr>
          <w:rFonts w:cs="Calibri"/>
          <w:color w:val="000000" w:themeColor="text1"/>
          <w:lang w:val="en-GB"/>
        </w:rPr>
      </w:pPr>
      <w:r w:rsidRPr="5D90EF81">
        <w:rPr>
          <w:rFonts w:cs="Calibri"/>
          <w:i/>
          <w:iCs/>
          <w:color w:val="000000" w:themeColor="text1"/>
          <w:vertAlign w:val="superscript"/>
          <w:lang w:val="en-GB"/>
        </w:rPr>
        <w:t>a</w:t>
      </w:r>
      <w:r w:rsidRPr="5D90EF81">
        <w:rPr>
          <w:rFonts w:cs="Calibri"/>
          <w:color w:val="000000" w:themeColor="text1"/>
          <w:lang w:val="en-GB"/>
        </w:rPr>
        <w:t xml:space="preserve"> CAPE-Lab, Computer-Aided Process Engineering Laboratory, Department of Industrial Engineering, University of Padova, via </w:t>
      </w:r>
      <w:proofErr w:type="spellStart"/>
      <w:r w:rsidRPr="5D90EF81">
        <w:rPr>
          <w:rFonts w:cs="Calibri"/>
          <w:color w:val="000000" w:themeColor="text1"/>
          <w:lang w:val="en-GB"/>
        </w:rPr>
        <w:t>Marzolo</w:t>
      </w:r>
      <w:proofErr w:type="spellEnd"/>
      <w:r w:rsidRPr="5D90EF81">
        <w:rPr>
          <w:rFonts w:cs="Calibri"/>
          <w:color w:val="000000" w:themeColor="text1"/>
          <w:lang w:val="en-GB"/>
        </w:rPr>
        <w:t xml:space="preserve"> 9, 35131 Padova, Italy</w:t>
      </w:r>
    </w:p>
    <w:p w14:paraId="6E4482D6" w14:textId="059FDFF6" w:rsidR="2613C421" w:rsidRPr="002C01BD" w:rsidRDefault="2613C421" w:rsidP="5D90EF81">
      <w:pPr>
        <w:spacing w:after="0" w:line="240" w:lineRule="auto"/>
        <w:jc w:val="center"/>
        <w:rPr>
          <w:lang w:val="en-US"/>
        </w:rPr>
      </w:pPr>
      <w:r w:rsidRPr="5D90EF81">
        <w:rPr>
          <w:rFonts w:cs="Calibri"/>
          <w:i/>
          <w:iCs/>
          <w:color w:val="000000" w:themeColor="text1"/>
          <w:vertAlign w:val="superscript"/>
          <w:lang w:val="en-GB"/>
        </w:rPr>
        <w:t>b</w:t>
      </w:r>
      <w:r w:rsidRPr="5D90EF81">
        <w:rPr>
          <w:rFonts w:cs="Calibri"/>
          <w:color w:val="000000" w:themeColor="text1"/>
          <w:lang w:val="en-GB"/>
        </w:rPr>
        <w:t xml:space="preserve"> GlaxoSmithKline, Park Road, Ware SG12 0DP, United Kingdom</w:t>
      </w:r>
    </w:p>
    <w:p w14:paraId="5F5D205D" w14:textId="173D6FD3" w:rsidR="00166F77" w:rsidRPr="002C01BD" w:rsidRDefault="00166F77" w:rsidP="5D90EF81">
      <w:pPr>
        <w:autoSpaceDE w:val="0"/>
        <w:autoSpaceDN w:val="0"/>
        <w:adjustRightInd w:val="0"/>
        <w:spacing w:before="120" w:after="120" w:line="240" w:lineRule="auto"/>
        <w:jc w:val="center"/>
        <w:rPr>
          <w:rFonts w:cs="Calibri"/>
          <w:color w:val="009BCD"/>
        </w:rPr>
      </w:pPr>
      <w:r w:rsidRPr="002C01BD">
        <w:rPr>
          <w:rFonts w:cs="Calibri"/>
          <w:color w:val="000000" w:themeColor="text1"/>
        </w:rPr>
        <w:t xml:space="preserve">E-mail: </w:t>
      </w:r>
      <w:r w:rsidR="2F2366C7" w:rsidRPr="002C01BD">
        <w:rPr>
          <w:rFonts w:cs="Calibri"/>
          <w:color w:val="000000" w:themeColor="text1"/>
        </w:rPr>
        <w:t>pierantonio.facco@unipd.it</w:t>
      </w:r>
      <w:r w:rsidRPr="002C01BD">
        <w:rPr>
          <w:rFonts w:cs="Calibri"/>
          <w:i/>
          <w:iCs/>
          <w:color w:val="000000" w:themeColor="text1"/>
        </w:rPr>
        <w:t xml:space="preserve"> </w:t>
      </w:r>
    </w:p>
    <w:p w14:paraId="7F82A39C" w14:textId="1A9DD808" w:rsidR="00A357E5" w:rsidRDefault="207014EE" w:rsidP="5D90EF81">
      <w:pPr>
        <w:spacing w:before="60" w:after="60" w:line="240" w:lineRule="auto"/>
        <w:jc w:val="both"/>
        <w:rPr>
          <w:rFonts w:cs="Calibri"/>
          <w:color w:val="000000" w:themeColor="text1"/>
          <w:sz w:val="24"/>
          <w:szCs w:val="24"/>
          <w:lang w:val="en-GB"/>
        </w:rPr>
      </w:pPr>
      <w:r w:rsidRPr="5D90EF81">
        <w:rPr>
          <w:rFonts w:cs="Calibri"/>
          <w:color w:val="000000" w:themeColor="text1"/>
          <w:sz w:val="24"/>
          <w:szCs w:val="24"/>
          <w:lang w:val="en-GB"/>
        </w:rPr>
        <w:t xml:space="preserve">This study addresses the challenge of identifying poorly soluble drug compounds during the early stages of pharmaceutical development by introducing a hybrid modelling approach aimed at enhancing both predictive accuracy and mechanistic understanding. Equilibrium solubility within gastrointestinal fluids is a critical </w:t>
      </w:r>
      <w:r w:rsidR="00A357E5">
        <w:rPr>
          <w:rFonts w:cs="Calibri"/>
          <w:color w:val="000000" w:themeColor="text1"/>
          <w:sz w:val="24"/>
          <w:szCs w:val="24"/>
          <w:lang w:val="en-GB"/>
        </w:rPr>
        <w:t>parameter</w:t>
      </w:r>
      <w:r w:rsidRPr="5D90EF81">
        <w:rPr>
          <w:rFonts w:cs="Calibri"/>
          <w:color w:val="000000" w:themeColor="text1"/>
          <w:sz w:val="24"/>
          <w:szCs w:val="24"/>
          <w:lang w:val="en-GB"/>
        </w:rPr>
        <w:t xml:space="preserve"> </w:t>
      </w:r>
      <w:r w:rsidR="00A357E5">
        <w:rPr>
          <w:rFonts w:cs="Calibri"/>
          <w:color w:val="000000" w:themeColor="text1"/>
          <w:sz w:val="24"/>
          <w:szCs w:val="24"/>
          <w:lang w:val="en-GB"/>
        </w:rPr>
        <w:t>o</w:t>
      </w:r>
      <w:r w:rsidRPr="5D90EF81">
        <w:rPr>
          <w:rFonts w:cs="Calibri"/>
          <w:color w:val="000000" w:themeColor="text1"/>
          <w:sz w:val="24"/>
          <w:szCs w:val="24"/>
          <w:lang w:val="en-GB"/>
        </w:rPr>
        <w:t>f oral drug bioavailability</w:t>
      </w:r>
      <w:r w:rsidR="00A357E5">
        <w:rPr>
          <w:rFonts w:cs="Calibri"/>
          <w:color w:val="000000" w:themeColor="text1"/>
          <w:sz w:val="24"/>
          <w:szCs w:val="24"/>
          <w:lang w:val="en-GB"/>
        </w:rPr>
        <w:t>.</w:t>
      </w:r>
      <w:r w:rsidRPr="5D90EF81">
        <w:rPr>
          <w:rFonts w:cs="Calibri"/>
          <w:color w:val="000000" w:themeColor="text1"/>
          <w:sz w:val="24"/>
          <w:szCs w:val="24"/>
          <w:lang w:val="en-GB"/>
        </w:rPr>
        <w:t xml:space="preserve"> </w:t>
      </w:r>
      <w:r w:rsidR="00A357E5">
        <w:rPr>
          <w:rFonts w:cs="Calibri"/>
          <w:color w:val="000000" w:themeColor="text1"/>
          <w:sz w:val="24"/>
          <w:szCs w:val="24"/>
          <w:lang w:val="en-GB"/>
        </w:rPr>
        <w:t>Its</w:t>
      </w:r>
      <w:r w:rsidRPr="5D90EF81">
        <w:rPr>
          <w:rFonts w:cs="Calibri"/>
          <w:color w:val="000000" w:themeColor="text1"/>
          <w:sz w:val="24"/>
          <w:szCs w:val="24"/>
          <w:lang w:val="en-GB"/>
        </w:rPr>
        <w:t xml:space="preserve"> </w:t>
      </w:r>
      <w:r w:rsidR="00A357E5" w:rsidRPr="5D90EF81">
        <w:rPr>
          <w:rFonts w:cs="Calibri"/>
          <w:color w:val="000000" w:themeColor="text1"/>
          <w:sz w:val="24"/>
          <w:szCs w:val="24"/>
          <w:lang w:val="en-GB"/>
        </w:rPr>
        <w:t>in</w:t>
      </w:r>
      <w:r w:rsidR="00A357E5">
        <w:rPr>
          <w:rFonts w:cs="Calibri"/>
          <w:color w:val="000000" w:themeColor="text1"/>
          <w:sz w:val="24"/>
          <w:szCs w:val="24"/>
          <w:lang w:val="en-GB"/>
        </w:rPr>
        <w:t>-</w:t>
      </w:r>
      <w:r w:rsidR="00A357E5" w:rsidRPr="5D90EF81">
        <w:rPr>
          <w:rFonts w:cs="Calibri"/>
          <w:color w:val="000000" w:themeColor="text1"/>
          <w:sz w:val="24"/>
          <w:szCs w:val="24"/>
          <w:lang w:val="en-GB"/>
        </w:rPr>
        <w:t xml:space="preserve">vivo </w:t>
      </w:r>
      <w:r w:rsidRPr="5D90EF81">
        <w:rPr>
          <w:rFonts w:cs="Calibri"/>
          <w:color w:val="000000" w:themeColor="text1"/>
          <w:sz w:val="24"/>
          <w:szCs w:val="24"/>
          <w:lang w:val="en-GB"/>
        </w:rPr>
        <w:t xml:space="preserve">experimental assessment is </w:t>
      </w:r>
      <w:r w:rsidR="00A357E5">
        <w:rPr>
          <w:rFonts w:cs="Calibri"/>
          <w:color w:val="000000" w:themeColor="text1"/>
          <w:sz w:val="24"/>
          <w:szCs w:val="24"/>
          <w:lang w:val="en-GB"/>
        </w:rPr>
        <w:t>difficult because of</w:t>
      </w:r>
      <w:r w:rsidRPr="5D90EF81">
        <w:rPr>
          <w:rFonts w:cs="Calibri"/>
          <w:color w:val="000000" w:themeColor="text1"/>
          <w:sz w:val="24"/>
          <w:szCs w:val="24"/>
          <w:lang w:val="en-GB"/>
        </w:rPr>
        <w:t xml:space="preserve"> the complexity </w:t>
      </w:r>
      <w:r w:rsidR="00576F1E">
        <w:rPr>
          <w:rFonts w:cs="Calibri"/>
          <w:color w:val="000000" w:themeColor="text1"/>
          <w:sz w:val="24"/>
          <w:szCs w:val="24"/>
          <w:lang w:val="en-GB"/>
        </w:rPr>
        <w:t>related to</w:t>
      </w:r>
      <w:r w:rsidRPr="5D90EF81">
        <w:rPr>
          <w:rFonts w:cs="Calibri"/>
          <w:color w:val="000000" w:themeColor="text1"/>
          <w:sz w:val="24"/>
          <w:szCs w:val="24"/>
          <w:lang w:val="en-GB"/>
        </w:rPr>
        <w:t xml:space="preserve"> </w:t>
      </w:r>
      <w:r w:rsidR="00A357E5">
        <w:rPr>
          <w:rFonts w:cs="Calibri"/>
          <w:color w:val="000000" w:themeColor="text1"/>
          <w:sz w:val="24"/>
          <w:szCs w:val="24"/>
          <w:lang w:val="en-GB"/>
        </w:rPr>
        <w:t>the collection of human</w:t>
      </w:r>
      <w:r w:rsidRPr="5D90EF81">
        <w:rPr>
          <w:rFonts w:cs="Calibri"/>
          <w:color w:val="000000" w:themeColor="text1"/>
          <w:sz w:val="24"/>
          <w:szCs w:val="24"/>
          <w:lang w:val="en-GB"/>
        </w:rPr>
        <w:t xml:space="preserve"> intestinal fluids. Consequently, in</w:t>
      </w:r>
      <w:r w:rsidR="00A357E5">
        <w:rPr>
          <w:rFonts w:cs="Calibri"/>
          <w:color w:val="000000" w:themeColor="text1"/>
          <w:sz w:val="24"/>
          <w:szCs w:val="24"/>
          <w:lang w:val="en-GB"/>
        </w:rPr>
        <w:t>-</w:t>
      </w:r>
      <w:r w:rsidRPr="5D90EF81">
        <w:rPr>
          <w:rFonts w:cs="Calibri"/>
          <w:color w:val="000000" w:themeColor="text1"/>
          <w:sz w:val="24"/>
          <w:szCs w:val="24"/>
          <w:lang w:val="en-GB"/>
        </w:rPr>
        <w:t xml:space="preserve">vitro evaluations using Simulated Intestinal Fluids (SIFs) have become extremely important for assessing drug solubility. Furthermore, </w:t>
      </w:r>
      <w:r w:rsidR="00037135" w:rsidRPr="00037135">
        <w:rPr>
          <w:rFonts w:cs="Calibri"/>
          <w:color w:val="000000" w:themeColor="text1"/>
          <w:sz w:val="24"/>
          <w:szCs w:val="24"/>
          <w:lang w:val="en-GB"/>
        </w:rPr>
        <w:t xml:space="preserve">pharmacokinetics physiologically based </w:t>
      </w:r>
      <w:r w:rsidRPr="5D90EF81">
        <w:rPr>
          <w:rFonts w:cs="Calibri"/>
          <w:color w:val="000000" w:themeColor="text1"/>
          <w:sz w:val="24"/>
          <w:szCs w:val="24"/>
          <w:lang w:val="en-GB"/>
        </w:rPr>
        <w:t xml:space="preserve">are </w:t>
      </w:r>
      <w:r w:rsidR="00A357E5">
        <w:rPr>
          <w:rFonts w:cs="Calibri"/>
          <w:color w:val="000000" w:themeColor="text1"/>
          <w:sz w:val="24"/>
          <w:szCs w:val="24"/>
          <w:lang w:val="en-GB"/>
        </w:rPr>
        <w:t xml:space="preserve">typically </w:t>
      </w:r>
      <w:r w:rsidRPr="5D90EF81">
        <w:rPr>
          <w:rFonts w:cs="Calibri"/>
          <w:color w:val="000000" w:themeColor="text1"/>
          <w:sz w:val="24"/>
          <w:szCs w:val="24"/>
          <w:lang w:val="en-GB"/>
        </w:rPr>
        <w:t xml:space="preserve">used to predict intestinal solubility. Nevertheless, </w:t>
      </w:r>
      <w:r w:rsidR="00A357E5">
        <w:rPr>
          <w:rFonts w:cs="Calibri"/>
          <w:color w:val="000000" w:themeColor="text1"/>
          <w:sz w:val="24"/>
          <w:szCs w:val="24"/>
          <w:lang w:val="en-GB"/>
        </w:rPr>
        <w:t>the state-of-the-art</w:t>
      </w:r>
      <w:r w:rsidRPr="5D90EF81">
        <w:rPr>
          <w:rFonts w:cs="Calibri"/>
          <w:color w:val="000000" w:themeColor="text1"/>
          <w:sz w:val="24"/>
          <w:szCs w:val="24"/>
          <w:lang w:val="en-GB"/>
        </w:rPr>
        <w:t xml:space="preserve"> models </w:t>
      </w:r>
      <w:r w:rsidR="00037135">
        <w:rPr>
          <w:rFonts w:cs="Calibri"/>
          <w:color w:val="000000" w:themeColor="text1"/>
          <w:sz w:val="24"/>
          <w:szCs w:val="24"/>
          <w:lang w:val="en-GB"/>
        </w:rPr>
        <w:t>[1]</w:t>
      </w:r>
      <w:r w:rsidR="00A357E5">
        <w:rPr>
          <w:rFonts w:cs="Calibri"/>
          <w:color w:val="000000" w:themeColor="text1"/>
          <w:sz w:val="24"/>
          <w:szCs w:val="24"/>
          <w:lang w:val="en-GB"/>
        </w:rPr>
        <w:t xml:space="preserve"> </w:t>
      </w:r>
      <w:r w:rsidRPr="5D90EF81">
        <w:rPr>
          <w:rFonts w:cs="Calibri"/>
          <w:color w:val="000000" w:themeColor="text1"/>
          <w:sz w:val="24"/>
          <w:szCs w:val="24"/>
          <w:lang w:val="en-GB"/>
        </w:rPr>
        <w:t xml:space="preserve">often neglect complex physiological effects such as the effect of food intake, which results in limited predictive reliability. </w:t>
      </w:r>
    </w:p>
    <w:p w14:paraId="75C56CC8" w14:textId="5F3DC41E" w:rsidR="00166F77" w:rsidRDefault="00A357E5" w:rsidP="00037135">
      <w:pPr>
        <w:spacing w:before="60" w:after="60" w:line="240" w:lineRule="auto"/>
        <w:jc w:val="both"/>
        <w:rPr>
          <w:rFonts w:cs="Calibri"/>
          <w:color w:val="000000" w:themeColor="text1"/>
          <w:sz w:val="24"/>
          <w:szCs w:val="24"/>
          <w:lang w:val="en-GB"/>
        </w:rPr>
      </w:pPr>
      <w:r>
        <w:rPr>
          <w:rFonts w:cs="Calibri"/>
          <w:color w:val="000000" w:themeColor="text1"/>
          <w:sz w:val="24"/>
          <w:szCs w:val="24"/>
          <w:lang w:val="en-GB"/>
        </w:rPr>
        <w:t>T</w:t>
      </w:r>
      <w:r w:rsidR="207014EE" w:rsidRPr="5D90EF81">
        <w:rPr>
          <w:rFonts w:cs="Calibri"/>
          <w:color w:val="000000" w:themeColor="text1"/>
          <w:sz w:val="24"/>
          <w:szCs w:val="24"/>
          <w:lang w:val="en-GB"/>
        </w:rPr>
        <w:t xml:space="preserve">his work proposes a hybrid model that integrates Gaussian Process Regression, a supervised machine learning technique, to improve both the quantitative accuracy and the physiological interpretability of </w:t>
      </w:r>
      <w:r>
        <w:rPr>
          <w:rFonts w:cs="Calibri"/>
          <w:color w:val="000000" w:themeColor="text1"/>
          <w:sz w:val="24"/>
          <w:szCs w:val="24"/>
          <w:lang w:val="en-GB"/>
        </w:rPr>
        <w:t>state-of-the-art</w:t>
      </w:r>
      <w:r w:rsidR="207014EE" w:rsidRPr="5D90EF81">
        <w:rPr>
          <w:rFonts w:cs="Calibri"/>
          <w:color w:val="000000" w:themeColor="text1"/>
          <w:sz w:val="24"/>
          <w:szCs w:val="24"/>
          <w:lang w:val="en-GB"/>
        </w:rPr>
        <w:t xml:space="preserve"> models. This hybrid methodology was applied </w:t>
      </w:r>
      <w:r w:rsidR="00037135">
        <w:rPr>
          <w:rFonts w:cs="Calibri"/>
          <w:color w:val="000000" w:themeColor="text1"/>
          <w:sz w:val="24"/>
          <w:szCs w:val="24"/>
          <w:lang w:val="en-GB"/>
        </w:rPr>
        <w:t xml:space="preserve">to a real industrial Active Pharmaceutical Ingredient, </w:t>
      </w:r>
      <w:r w:rsidR="207014EE" w:rsidRPr="5D90EF81">
        <w:rPr>
          <w:rFonts w:cs="Calibri"/>
          <w:color w:val="000000" w:themeColor="text1"/>
          <w:sz w:val="24"/>
          <w:szCs w:val="24"/>
          <w:lang w:val="en-GB"/>
        </w:rPr>
        <w:t>which is characterized by low aqueous solubility</w:t>
      </w:r>
      <w:r w:rsidR="00037135">
        <w:rPr>
          <w:rFonts w:cs="Calibri"/>
          <w:color w:val="000000" w:themeColor="text1"/>
          <w:sz w:val="24"/>
          <w:szCs w:val="24"/>
          <w:lang w:val="en-GB"/>
        </w:rPr>
        <w:t xml:space="preserve"> [2]</w:t>
      </w:r>
      <w:r w:rsidR="207014EE" w:rsidRPr="5D90EF81">
        <w:rPr>
          <w:rFonts w:cs="Calibri"/>
          <w:color w:val="000000" w:themeColor="text1"/>
          <w:sz w:val="24"/>
          <w:szCs w:val="24"/>
          <w:lang w:val="en-GB"/>
        </w:rPr>
        <w:t xml:space="preserve">. The results demonstrate that the proposed model significantly outperforms existing approaches in the literature, capturing both inter-subject and intra-subject variability in gastrointestinal solubility with a high degree of accuracy. </w:t>
      </w:r>
      <w:r w:rsidR="00576F1E">
        <w:rPr>
          <w:rFonts w:cs="Calibri"/>
          <w:color w:val="000000" w:themeColor="text1"/>
          <w:sz w:val="24"/>
          <w:szCs w:val="24"/>
          <w:lang w:val="en-GB"/>
        </w:rPr>
        <w:t xml:space="preserve">The </w:t>
      </w:r>
      <w:r>
        <w:rPr>
          <w:rFonts w:cs="Calibri"/>
          <w:color w:val="000000" w:themeColor="text1"/>
          <w:sz w:val="24"/>
          <w:szCs w:val="24"/>
          <w:lang w:val="en-GB"/>
        </w:rPr>
        <w:t xml:space="preserve">proposed </w:t>
      </w:r>
      <w:r w:rsidR="00576F1E">
        <w:rPr>
          <w:rFonts w:cs="Calibri"/>
          <w:color w:val="000000" w:themeColor="text1"/>
          <w:sz w:val="24"/>
          <w:szCs w:val="24"/>
          <w:lang w:val="en-GB"/>
        </w:rPr>
        <w:t xml:space="preserve">model facilitates </w:t>
      </w:r>
      <w:r w:rsidR="207014EE" w:rsidRPr="5D90EF81">
        <w:rPr>
          <w:rFonts w:cs="Calibri"/>
          <w:color w:val="000000" w:themeColor="text1"/>
          <w:sz w:val="24"/>
          <w:szCs w:val="24"/>
          <w:lang w:val="en-GB"/>
        </w:rPr>
        <w:t>a</w:t>
      </w:r>
      <w:r>
        <w:rPr>
          <w:rFonts w:cs="Calibri"/>
          <w:color w:val="000000" w:themeColor="text1"/>
          <w:sz w:val="24"/>
          <w:szCs w:val="24"/>
          <w:lang w:val="en-GB"/>
        </w:rPr>
        <w:t>n</w:t>
      </w:r>
      <w:r w:rsidR="207014EE" w:rsidRPr="5D90EF81">
        <w:rPr>
          <w:rFonts w:cs="Calibri"/>
          <w:color w:val="000000" w:themeColor="text1"/>
          <w:sz w:val="24"/>
          <w:szCs w:val="24"/>
          <w:lang w:val="en-GB"/>
        </w:rPr>
        <w:t xml:space="preserve"> </w:t>
      </w:r>
      <w:r>
        <w:rPr>
          <w:rFonts w:cs="Calibri"/>
          <w:color w:val="000000" w:themeColor="text1"/>
          <w:sz w:val="24"/>
          <w:szCs w:val="24"/>
          <w:lang w:val="en-GB"/>
        </w:rPr>
        <w:t>in-</w:t>
      </w:r>
      <w:r w:rsidR="207014EE" w:rsidRPr="5D90EF81">
        <w:rPr>
          <w:rFonts w:cs="Calibri"/>
          <w:color w:val="000000" w:themeColor="text1"/>
          <w:sz w:val="24"/>
          <w:szCs w:val="24"/>
          <w:lang w:val="en-GB"/>
        </w:rPr>
        <w:t>dep</w:t>
      </w:r>
      <w:r>
        <w:rPr>
          <w:rFonts w:cs="Calibri"/>
          <w:color w:val="000000" w:themeColor="text1"/>
          <w:sz w:val="24"/>
          <w:szCs w:val="24"/>
          <w:lang w:val="en-GB"/>
        </w:rPr>
        <w:t>th</w:t>
      </w:r>
      <w:r w:rsidR="207014EE" w:rsidRPr="5D90EF81">
        <w:rPr>
          <w:rFonts w:cs="Calibri"/>
          <w:color w:val="000000" w:themeColor="text1"/>
          <w:sz w:val="24"/>
          <w:szCs w:val="24"/>
          <w:lang w:val="en-GB"/>
        </w:rPr>
        <w:t xml:space="preserve"> understanding of the interactions between drug compounds and intestinal components under various physiological states</w:t>
      </w:r>
      <w:r>
        <w:rPr>
          <w:rFonts w:cs="Calibri"/>
          <w:color w:val="000000" w:themeColor="text1"/>
          <w:sz w:val="24"/>
          <w:szCs w:val="24"/>
          <w:lang w:val="en-GB"/>
        </w:rPr>
        <w:t>, determining also</w:t>
      </w:r>
      <w:r w:rsidR="207014EE" w:rsidRPr="5D90EF81">
        <w:rPr>
          <w:rFonts w:cs="Calibri"/>
          <w:color w:val="000000" w:themeColor="text1"/>
          <w:sz w:val="24"/>
          <w:szCs w:val="24"/>
          <w:lang w:val="en-GB"/>
        </w:rPr>
        <w:t xml:space="preserve"> important implications</w:t>
      </w:r>
      <w:r>
        <w:rPr>
          <w:rFonts w:cs="Calibri"/>
          <w:color w:val="000000" w:themeColor="text1"/>
          <w:sz w:val="24"/>
          <w:szCs w:val="24"/>
          <w:lang w:val="en-GB"/>
        </w:rPr>
        <w:t>, such as a</w:t>
      </w:r>
      <w:r w:rsidR="207014EE" w:rsidRPr="5D90EF81">
        <w:rPr>
          <w:rFonts w:cs="Calibri"/>
          <w:color w:val="000000" w:themeColor="text1"/>
          <w:sz w:val="24"/>
          <w:szCs w:val="24"/>
          <w:lang w:val="en-GB"/>
        </w:rPr>
        <w:t xml:space="preserve"> streamlin</w:t>
      </w:r>
      <w:r>
        <w:rPr>
          <w:rFonts w:cs="Calibri"/>
          <w:color w:val="000000" w:themeColor="text1"/>
          <w:sz w:val="24"/>
          <w:szCs w:val="24"/>
          <w:lang w:val="en-GB"/>
        </w:rPr>
        <w:t>ed</w:t>
      </w:r>
      <w:r w:rsidR="207014EE" w:rsidRPr="5D90EF81">
        <w:rPr>
          <w:rFonts w:cs="Calibri"/>
          <w:color w:val="000000" w:themeColor="text1"/>
          <w:sz w:val="24"/>
          <w:szCs w:val="24"/>
          <w:lang w:val="en-GB"/>
        </w:rPr>
        <w:t xml:space="preserve"> drug development</w:t>
      </w:r>
      <w:r>
        <w:rPr>
          <w:rFonts w:cs="Calibri"/>
          <w:color w:val="000000" w:themeColor="text1"/>
          <w:sz w:val="24"/>
          <w:szCs w:val="24"/>
          <w:lang w:val="en-GB"/>
        </w:rPr>
        <w:t xml:space="preserve"> process</w:t>
      </w:r>
      <w:r w:rsidR="207014EE" w:rsidRPr="5D90EF81">
        <w:rPr>
          <w:rFonts w:cs="Calibri"/>
          <w:color w:val="000000" w:themeColor="text1"/>
          <w:sz w:val="24"/>
          <w:szCs w:val="24"/>
          <w:lang w:val="en-GB"/>
        </w:rPr>
        <w:t xml:space="preserve">, </w:t>
      </w:r>
      <w:r>
        <w:rPr>
          <w:rFonts w:cs="Calibri"/>
          <w:color w:val="000000" w:themeColor="text1"/>
          <w:sz w:val="24"/>
          <w:szCs w:val="24"/>
          <w:lang w:val="en-GB"/>
        </w:rPr>
        <w:t xml:space="preserve">a </w:t>
      </w:r>
      <w:r w:rsidR="207014EE" w:rsidRPr="5D90EF81">
        <w:rPr>
          <w:rFonts w:cs="Calibri"/>
          <w:color w:val="000000" w:themeColor="text1"/>
          <w:sz w:val="24"/>
          <w:szCs w:val="24"/>
          <w:lang w:val="en-GB"/>
        </w:rPr>
        <w:t>reduc</w:t>
      </w:r>
      <w:r>
        <w:rPr>
          <w:rFonts w:cs="Calibri"/>
          <w:color w:val="000000" w:themeColor="text1"/>
          <w:sz w:val="24"/>
          <w:szCs w:val="24"/>
          <w:lang w:val="en-GB"/>
        </w:rPr>
        <w:t>ed</w:t>
      </w:r>
      <w:r w:rsidR="207014EE" w:rsidRPr="5D90EF81">
        <w:rPr>
          <w:rFonts w:cs="Calibri"/>
          <w:color w:val="000000" w:themeColor="text1"/>
          <w:sz w:val="24"/>
          <w:szCs w:val="24"/>
          <w:lang w:val="en-GB"/>
        </w:rPr>
        <w:t xml:space="preserve"> reliance on resource-intensive experimentation, ultimately improving the efficiency of oral drug formulation strategies.</w:t>
      </w:r>
    </w:p>
    <w:p w14:paraId="0497B672" w14:textId="77777777" w:rsidR="005C1FAE" w:rsidRPr="00037135" w:rsidRDefault="005C1FAE" w:rsidP="00037135">
      <w:pPr>
        <w:spacing w:before="60" w:after="60" w:line="240" w:lineRule="auto"/>
        <w:jc w:val="both"/>
        <w:rPr>
          <w:rFonts w:cs="Calibri"/>
          <w:color w:val="000000" w:themeColor="text1"/>
          <w:sz w:val="24"/>
          <w:szCs w:val="24"/>
          <w:lang w:val="en-GB"/>
        </w:rPr>
      </w:pPr>
    </w:p>
    <w:p w14:paraId="320BFD85" w14:textId="0652E865" w:rsidR="00C81FF0" w:rsidRDefault="00166F77" w:rsidP="5D90EF81">
      <w:pPr>
        <w:pStyle w:val="Abstract"/>
        <w:tabs>
          <w:tab w:val="center" w:pos="4986"/>
        </w:tabs>
        <w:ind w:left="0"/>
        <w:rPr>
          <w:rFonts w:ascii="Calibri" w:hAnsi="Calibri" w:cs="Calibri"/>
          <w:i/>
          <w:iCs/>
          <w:sz w:val="24"/>
          <w:szCs w:val="24"/>
        </w:rPr>
      </w:pPr>
      <w:r w:rsidRPr="5D90EF81">
        <w:rPr>
          <w:rFonts w:ascii="Calibri" w:hAnsi="Calibri" w:cs="Calibri"/>
          <w:b/>
          <w:bCs/>
          <w:sz w:val="24"/>
          <w:szCs w:val="24"/>
        </w:rPr>
        <w:t>Keywords</w:t>
      </w:r>
      <w:r w:rsidRPr="5D90EF81">
        <w:rPr>
          <w:rFonts w:ascii="Calibri" w:hAnsi="Calibri" w:cs="Calibri"/>
          <w:sz w:val="24"/>
          <w:szCs w:val="24"/>
        </w:rPr>
        <w:t xml:space="preserve">: </w:t>
      </w:r>
      <w:r w:rsidR="1EC9F270" w:rsidRPr="5D90EF81">
        <w:rPr>
          <w:rFonts w:ascii="Calibri" w:hAnsi="Calibri" w:cs="Calibri"/>
          <w:i/>
          <w:iCs/>
          <w:sz w:val="24"/>
          <w:szCs w:val="24"/>
        </w:rPr>
        <w:t>hybrid model</w:t>
      </w:r>
      <w:r w:rsidRPr="5D90EF81">
        <w:rPr>
          <w:rFonts w:ascii="Calibri" w:hAnsi="Calibri" w:cs="Calibri"/>
          <w:i/>
          <w:iCs/>
          <w:sz w:val="24"/>
          <w:szCs w:val="24"/>
        </w:rPr>
        <w:t xml:space="preserve">, </w:t>
      </w:r>
      <w:r w:rsidR="2CD69000" w:rsidRPr="5D90EF81">
        <w:rPr>
          <w:rFonts w:ascii="Calibri" w:hAnsi="Calibri" w:cs="Calibri"/>
          <w:i/>
          <w:iCs/>
          <w:sz w:val="24"/>
          <w:szCs w:val="24"/>
        </w:rPr>
        <w:t>drug intestinal solubility</w:t>
      </w:r>
      <w:r w:rsidRPr="5D90EF81">
        <w:rPr>
          <w:rFonts w:ascii="Calibri" w:hAnsi="Calibri" w:cs="Calibri"/>
          <w:i/>
          <w:iCs/>
          <w:sz w:val="24"/>
          <w:szCs w:val="24"/>
        </w:rPr>
        <w:t xml:space="preserve">, </w:t>
      </w:r>
      <w:r w:rsidR="21A5022B" w:rsidRPr="5D90EF81">
        <w:rPr>
          <w:rFonts w:ascii="Calibri" w:hAnsi="Calibri" w:cs="Calibri"/>
          <w:i/>
          <w:iCs/>
          <w:sz w:val="24"/>
          <w:szCs w:val="24"/>
        </w:rPr>
        <w:t>physiological model, Gaussian Process</w:t>
      </w:r>
    </w:p>
    <w:p w14:paraId="3E1FC623" w14:textId="77777777" w:rsidR="00037135" w:rsidRDefault="00037135" w:rsidP="00037135">
      <w:pPr>
        <w:rPr>
          <w:rFonts w:cs="Calibri"/>
          <w:b/>
          <w:bCs/>
          <w:sz w:val="24"/>
          <w:szCs w:val="24"/>
          <w:lang w:val="en-US"/>
        </w:rPr>
      </w:pPr>
      <w:r>
        <w:rPr>
          <w:rFonts w:cs="Calibri"/>
          <w:b/>
          <w:bCs/>
          <w:sz w:val="24"/>
          <w:szCs w:val="24"/>
          <w:lang w:val="en-US"/>
        </w:rPr>
        <w:t>References</w:t>
      </w:r>
    </w:p>
    <w:p w14:paraId="36F582AA" w14:textId="77777777" w:rsidR="00037135" w:rsidRPr="00037135" w:rsidRDefault="00037135" w:rsidP="00037135">
      <w:pPr>
        <w:rPr>
          <w:lang w:val="en-GB"/>
        </w:rPr>
      </w:pPr>
      <w:r w:rsidRPr="00037135">
        <w:rPr>
          <w:lang w:val="en-GB"/>
        </w:rPr>
        <w:t>1.</w:t>
      </w:r>
      <w:r w:rsidRPr="00037135">
        <w:rPr>
          <w:lang w:val="en-GB"/>
        </w:rPr>
        <w:tab/>
      </w:r>
      <w:proofErr w:type="spellStart"/>
      <w:r w:rsidRPr="00037135">
        <w:rPr>
          <w:lang w:val="en-GB"/>
        </w:rPr>
        <w:t>Stamatopoulos</w:t>
      </w:r>
      <w:proofErr w:type="spellEnd"/>
      <w:r w:rsidRPr="00037135">
        <w:rPr>
          <w:lang w:val="en-GB"/>
        </w:rPr>
        <w:t xml:space="preserve"> K. Integrating biopharmaceutics to predict oral absorption using PBPK modelling. In Biopharmaceutics. Ed: Batchelor H. Wiley (2022). https://doi.org/10.1002/9781119678366.ch12</w:t>
      </w:r>
    </w:p>
    <w:p w14:paraId="42D50DCF" w14:textId="03A283C9" w:rsidR="00037135" w:rsidRPr="00037135" w:rsidRDefault="00037135" w:rsidP="00037135">
      <w:pPr>
        <w:rPr>
          <w:lang w:val="en-GB"/>
        </w:rPr>
      </w:pPr>
      <w:r w:rsidRPr="00037135">
        <w:rPr>
          <w:lang w:val="en-GB"/>
        </w:rPr>
        <w:lastRenderedPageBreak/>
        <w:t>2.</w:t>
      </w:r>
      <w:r w:rsidRPr="00037135">
        <w:rPr>
          <w:lang w:val="en-GB"/>
        </w:rPr>
        <w:tab/>
      </w:r>
      <w:proofErr w:type="spellStart"/>
      <w:r w:rsidRPr="00037135">
        <w:rPr>
          <w:lang w:val="en-GB"/>
        </w:rPr>
        <w:t>Stamatopoulos</w:t>
      </w:r>
      <w:proofErr w:type="spellEnd"/>
      <w:r w:rsidRPr="00037135">
        <w:rPr>
          <w:lang w:val="en-GB"/>
        </w:rPr>
        <w:t xml:space="preserve"> K., </w:t>
      </w:r>
      <w:proofErr w:type="spellStart"/>
      <w:r w:rsidRPr="00037135">
        <w:rPr>
          <w:lang w:val="en-GB"/>
        </w:rPr>
        <w:t>Ferrini</w:t>
      </w:r>
      <w:proofErr w:type="spellEnd"/>
      <w:r w:rsidRPr="00037135">
        <w:rPr>
          <w:lang w:val="en-GB"/>
        </w:rPr>
        <w:t xml:space="preserve"> P., Nguyen D., Zhang Y., Butler J. M., Hall J., Mistry N. Integrating in vitro biopharmaceutics into physiologically based biopharmaceutic model (PBBM) to predict food effect of BCS IV zwitterionic drug (GSK3640254). Pharmaceutics, 15:2 (2023). https://doi.org/10.3390/pharmaceutics15020521</w:t>
      </w:r>
    </w:p>
    <w:p w14:paraId="39D014DF" w14:textId="7EBD7B49" w:rsidR="00C81FF0" w:rsidRPr="005B6A62" w:rsidRDefault="00C81FF0" w:rsidP="00C81FF0">
      <w:pPr>
        <w:tabs>
          <w:tab w:val="left" w:pos="4215"/>
        </w:tabs>
        <w:rPr>
          <w:rFonts w:cs="Calibri"/>
          <w:sz w:val="20"/>
          <w:szCs w:val="20"/>
          <w:lang w:val="en-GB"/>
        </w:rPr>
      </w:pPr>
      <w:r w:rsidRPr="005B6A62">
        <w:rPr>
          <w:rFonts w:cs="Calibri"/>
          <w:sz w:val="20"/>
          <w:szCs w:val="20"/>
          <w:lang w:val="en-GB"/>
        </w:rPr>
        <w:tab/>
      </w:r>
    </w:p>
    <w:sectPr w:rsidR="00C81FF0" w:rsidRPr="005B6A62" w:rsidSect="00C9288D">
      <w:headerReference w:type="default" r:id="rId8"/>
      <w:footerReference w:type="default" r:id="rId9"/>
      <w:headerReference w:type="first" r:id="rId10"/>
      <w:footerReference w:type="first" r:id="rId11"/>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99F4" w14:textId="77777777" w:rsidR="00F82BE4" w:rsidRDefault="00F82BE4" w:rsidP="0072716A">
      <w:pPr>
        <w:spacing w:after="0" w:line="240" w:lineRule="auto"/>
      </w:pPr>
      <w:r>
        <w:separator/>
      </w:r>
    </w:p>
  </w:endnote>
  <w:endnote w:type="continuationSeparator" w:id="0">
    <w:p w14:paraId="6315BCF6" w14:textId="77777777" w:rsidR="00F82BE4" w:rsidRDefault="00F82BE4"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62E2" w14:textId="77777777" w:rsidR="00F82BE4" w:rsidRDefault="00F82BE4" w:rsidP="0072716A">
      <w:pPr>
        <w:spacing w:after="0" w:line="240" w:lineRule="auto"/>
      </w:pPr>
      <w:r>
        <w:separator/>
      </w:r>
    </w:p>
  </w:footnote>
  <w:footnote w:type="continuationSeparator" w:id="0">
    <w:p w14:paraId="63D2DB97" w14:textId="77777777" w:rsidR="00F82BE4" w:rsidRDefault="00F82BE4"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37135"/>
    <w:rsid w:val="00040787"/>
    <w:rsid w:val="00050B46"/>
    <w:rsid w:val="00055E4E"/>
    <w:rsid w:val="000739FA"/>
    <w:rsid w:val="00077BD8"/>
    <w:rsid w:val="000807B2"/>
    <w:rsid w:val="00087BDF"/>
    <w:rsid w:val="000A7F56"/>
    <w:rsid w:val="000F0BA4"/>
    <w:rsid w:val="001064EC"/>
    <w:rsid w:val="00150AB6"/>
    <w:rsid w:val="0016126F"/>
    <w:rsid w:val="00166F77"/>
    <w:rsid w:val="001B3E11"/>
    <w:rsid w:val="001C3CAD"/>
    <w:rsid w:val="001C66EA"/>
    <w:rsid w:val="001D5A3E"/>
    <w:rsid w:val="001E449D"/>
    <w:rsid w:val="001F58B3"/>
    <w:rsid w:val="001F7B13"/>
    <w:rsid w:val="00231201"/>
    <w:rsid w:val="00232B98"/>
    <w:rsid w:val="002364A0"/>
    <w:rsid w:val="00240F69"/>
    <w:rsid w:val="00256791"/>
    <w:rsid w:val="00284C43"/>
    <w:rsid w:val="00286251"/>
    <w:rsid w:val="002B2884"/>
    <w:rsid w:val="002C01BD"/>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72398"/>
    <w:rsid w:val="00481A10"/>
    <w:rsid w:val="004909A6"/>
    <w:rsid w:val="00494403"/>
    <w:rsid w:val="004964F3"/>
    <w:rsid w:val="004A3BE7"/>
    <w:rsid w:val="004A5E5A"/>
    <w:rsid w:val="004B0E3D"/>
    <w:rsid w:val="004B1770"/>
    <w:rsid w:val="004D20B4"/>
    <w:rsid w:val="004E46D9"/>
    <w:rsid w:val="004E4C7F"/>
    <w:rsid w:val="00505969"/>
    <w:rsid w:val="00510DBF"/>
    <w:rsid w:val="005118E4"/>
    <w:rsid w:val="0052470B"/>
    <w:rsid w:val="00545ECB"/>
    <w:rsid w:val="00554D59"/>
    <w:rsid w:val="00560E7F"/>
    <w:rsid w:val="00574E8F"/>
    <w:rsid w:val="00576F1E"/>
    <w:rsid w:val="005B00F2"/>
    <w:rsid w:val="005B27E7"/>
    <w:rsid w:val="005B6A62"/>
    <w:rsid w:val="005C1FAE"/>
    <w:rsid w:val="00600984"/>
    <w:rsid w:val="006009FC"/>
    <w:rsid w:val="00602331"/>
    <w:rsid w:val="00602D67"/>
    <w:rsid w:val="00611F7E"/>
    <w:rsid w:val="006254B9"/>
    <w:rsid w:val="006336D6"/>
    <w:rsid w:val="00651FC1"/>
    <w:rsid w:val="00666BBC"/>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56B3F"/>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97121"/>
    <w:rsid w:val="008A3E06"/>
    <w:rsid w:val="008D0D75"/>
    <w:rsid w:val="008D45DE"/>
    <w:rsid w:val="008E1DA0"/>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A17800"/>
    <w:rsid w:val="00A32456"/>
    <w:rsid w:val="00A357E5"/>
    <w:rsid w:val="00A56889"/>
    <w:rsid w:val="00A75D50"/>
    <w:rsid w:val="00A76AA9"/>
    <w:rsid w:val="00A92FB5"/>
    <w:rsid w:val="00AA4374"/>
    <w:rsid w:val="00AA7032"/>
    <w:rsid w:val="00AB21B4"/>
    <w:rsid w:val="00AB4DBD"/>
    <w:rsid w:val="00AC3650"/>
    <w:rsid w:val="00AD3AAC"/>
    <w:rsid w:val="00AD642E"/>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34047"/>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05CE9"/>
    <w:rsid w:val="00E15C72"/>
    <w:rsid w:val="00E31C2F"/>
    <w:rsid w:val="00E322C2"/>
    <w:rsid w:val="00E42586"/>
    <w:rsid w:val="00E93921"/>
    <w:rsid w:val="00EA3175"/>
    <w:rsid w:val="00EB0DB4"/>
    <w:rsid w:val="00EB1B0A"/>
    <w:rsid w:val="00EB42AB"/>
    <w:rsid w:val="00EC013D"/>
    <w:rsid w:val="00EC4C57"/>
    <w:rsid w:val="00EC62BB"/>
    <w:rsid w:val="00EC7787"/>
    <w:rsid w:val="00EF7ABB"/>
    <w:rsid w:val="00F02050"/>
    <w:rsid w:val="00F319C7"/>
    <w:rsid w:val="00F36908"/>
    <w:rsid w:val="00F42F3F"/>
    <w:rsid w:val="00F61BC7"/>
    <w:rsid w:val="00F63033"/>
    <w:rsid w:val="00F82BE4"/>
    <w:rsid w:val="00F910A0"/>
    <w:rsid w:val="00FA4B1F"/>
    <w:rsid w:val="00FA76C2"/>
    <w:rsid w:val="00FB38DD"/>
    <w:rsid w:val="00FC3A0E"/>
    <w:rsid w:val="00FE0F24"/>
    <w:rsid w:val="00FE1B48"/>
    <w:rsid w:val="00FE1FCB"/>
    <w:rsid w:val="01C6B4F8"/>
    <w:rsid w:val="07A26C70"/>
    <w:rsid w:val="0F0F8FA1"/>
    <w:rsid w:val="16384D9D"/>
    <w:rsid w:val="1EC9F270"/>
    <w:rsid w:val="207014EE"/>
    <w:rsid w:val="20B8303D"/>
    <w:rsid w:val="21A5022B"/>
    <w:rsid w:val="2613C421"/>
    <w:rsid w:val="2CD69000"/>
    <w:rsid w:val="2F2366C7"/>
    <w:rsid w:val="350D3FB5"/>
    <w:rsid w:val="4DCE3FD0"/>
    <w:rsid w:val="4F68378F"/>
    <w:rsid w:val="513D793A"/>
    <w:rsid w:val="5D90EF81"/>
    <w:rsid w:val="663A01B8"/>
    <w:rsid w:val="6E486741"/>
    <w:rsid w:val="6F69A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 w:type="character" w:styleId="Rimandocommento">
    <w:name w:val="annotation reference"/>
    <w:basedOn w:val="Carpredefinitoparagrafo"/>
    <w:uiPriority w:val="99"/>
    <w:semiHidden/>
    <w:unhideWhenUsed/>
    <w:rsid w:val="00A357E5"/>
    <w:rPr>
      <w:sz w:val="16"/>
      <w:szCs w:val="16"/>
    </w:rPr>
  </w:style>
  <w:style w:type="paragraph" w:styleId="Testocommento">
    <w:name w:val="annotation text"/>
    <w:basedOn w:val="Normale"/>
    <w:link w:val="TestocommentoCarattere"/>
    <w:uiPriority w:val="99"/>
    <w:unhideWhenUsed/>
    <w:rsid w:val="00A357E5"/>
    <w:pPr>
      <w:spacing w:line="240" w:lineRule="auto"/>
    </w:pPr>
    <w:rPr>
      <w:sz w:val="20"/>
      <w:szCs w:val="20"/>
    </w:rPr>
  </w:style>
  <w:style w:type="character" w:customStyle="1" w:styleId="TestocommentoCarattere">
    <w:name w:val="Testo commento Carattere"/>
    <w:basedOn w:val="Carpredefinitoparagrafo"/>
    <w:link w:val="Testocommento"/>
    <w:uiPriority w:val="99"/>
    <w:rsid w:val="00A357E5"/>
    <w:rPr>
      <w:lang w:eastAsia="en-US"/>
    </w:rPr>
  </w:style>
  <w:style w:type="paragraph" w:styleId="Soggettocommento">
    <w:name w:val="annotation subject"/>
    <w:basedOn w:val="Testocommento"/>
    <w:next w:val="Testocommento"/>
    <w:link w:val="SoggettocommentoCarattere"/>
    <w:uiPriority w:val="99"/>
    <w:semiHidden/>
    <w:unhideWhenUsed/>
    <w:rsid w:val="00A357E5"/>
    <w:rPr>
      <w:b/>
      <w:bCs/>
    </w:rPr>
  </w:style>
  <w:style w:type="character" w:customStyle="1" w:styleId="SoggettocommentoCarattere">
    <w:name w:val="Soggetto commento Carattere"/>
    <w:basedOn w:val="TestocommentoCarattere"/>
    <w:link w:val="Soggettocommento"/>
    <w:uiPriority w:val="99"/>
    <w:semiHidden/>
    <w:rsid w:val="00A357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89893">
      <w:bodyDiv w:val="1"/>
      <w:marLeft w:val="0"/>
      <w:marRight w:val="0"/>
      <w:marTop w:val="0"/>
      <w:marBottom w:val="0"/>
      <w:divBdr>
        <w:top w:val="none" w:sz="0" w:space="0" w:color="auto"/>
        <w:left w:val="none" w:sz="0" w:space="0" w:color="auto"/>
        <w:bottom w:val="none" w:sz="0" w:space="0" w:color="auto"/>
        <w:right w:val="none" w:sz="0" w:space="0" w:color="auto"/>
      </w:divBdr>
    </w:div>
    <w:div w:id="94098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Marco Brendolan</cp:lastModifiedBy>
  <cp:revision>3</cp:revision>
  <cp:lastPrinted>2020-12-16T11:42:00Z</cp:lastPrinted>
  <dcterms:created xsi:type="dcterms:W3CDTF">2025-04-30T15:34:00Z</dcterms:created>
  <dcterms:modified xsi:type="dcterms:W3CDTF">2025-05-14T12:50:00Z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