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4C89" w14:textId="5A504EA8" w:rsidR="00166F77" w:rsidRPr="00200557" w:rsidRDefault="00E623B5" w:rsidP="00166F77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GB"/>
        </w:rPr>
      </w:pPr>
      <w:r>
        <w:rPr>
          <w:rFonts w:cs="Calibri"/>
          <w:b/>
          <w:bCs/>
          <w:color w:val="000000"/>
          <w:sz w:val="40"/>
          <w:szCs w:val="40"/>
          <w:lang w:val="en-GB"/>
        </w:rPr>
        <w:t>B</w:t>
      </w:r>
      <w:r w:rsidR="00200557" w:rsidRPr="00200557">
        <w:rPr>
          <w:rFonts w:cs="Calibri"/>
          <w:b/>
          <w:bCs/>
          <w:color w:val="000000"/>
          <w:sz w:val="40"/>
          <w:szCs w:val="40"/>
          <w:lang w:val="en-GB"/>
        </w:rPr>
        <w:t>iocataly</w:t>
      </w:r>
      <w:r w:rsidR="00ED6E47">
        <w:rPr>
          <w:rFonts w:cs="Calibri"/>
          <w:b/>
          <w:bCs/>
          <w:color w:val="000000"/>
          <w:sz w:val="40"/>
          <w:szCs w:val="40"/>
          <w:lang w:val="en-GB"/>
        </w:rPr>
        <w:t xml:space="preserve">st development for </w:t>
      </w:r>
      <w:r w:rsidR="00200557" w:rsidRPr="00200557">
        <w:rPr>
          <w:rFonts w:cs="Calibri"/>
          <w:b/>
          <w:bCs/>
          <w:color w:val="000000"/>
          <w:sz w:val="40"/>
          <w:szCs w:val="40"/>
          <w:lang w:val="en-GB"/>
        </w:rPr>
        <w:t>C</w:t>
      </w:r>
      <w:r w:rsidR="00200557">
        <w:rPr>
          <w:rFonts w:cs="Calibri"/>
          <w:b/>
          <w:bCs/>
          <w:color w:val="000000"/>
          <w:sz w:val="40"/>
          <w:szCs w:val="40"/>
          <w:lang w:val="en-GB"/>
        </w:rPr>
        <w:t>O</w:t>
      </w:r>
      <w:r w:rsidR="00200557" w:rsidRPr="006A7914">
        <w:rPr>
          <w:rFonts w:cs="Calibri"/>
          <w:b/>
          <w:bCs/>
          <w:color w:val="000000"/>
          <w:sz w:val="40"/>
          <w:szCs w:val="40"/>
          <w:vertAlign w:val="subscript"/>
          <w:lang w:val="en-GB"/>
        </w:rPr>
        <w:t>2</w:t>
      </w:r>
      <w:r w:rsidR="00200557">
        <w:rPr>
          <w:rFonts w:cs="Calibri"/>
          <w:b/>
          <w:bCs/>
          <w:color w:val="000000"/>
          <w:sz w:val="40"/>
          <w:szCs w:val="40"/>
          <w:lang w:val="en-GB"/>
        </w:rPr>
        <w:t xml:space="preserve"> capture and utilization</w:t>
      </w:r>
      <w:r w:rsidR="00B9386D">
        <w:rPr>
          <w:rFonts w:cs="Calibri"/>
          <w:b/>
          <w:bCs/>
          <w:color w:val="000000"/>
          <w:sz w:val="40"/>
          <w:szCs w:val="40"/>
          <w:lang w:val="en-GB"/>
        </w:rPr>
        <w:t xml:space="preserve"> by enzymatic cascade process</w:t>
      </w:r>
      <w:r w:rsidR="00F65832">
        <w:rPr>
          <w:rFonts w:cs="Calibri"/>
          <w:b/>
          <w:bCs/>
          <w:color w:val="000000"/>
          <w:sz w:val="40"/>
          <w:szCs w:val="40"/>
          <w:lang w:val="en-GB"/>
        </w:rPr>
        <w:t xml:space="preserve"> </w:t>
      </w:r>
    </w:p>
    <w:p w14:paraId="4B181536" w14:textId="423D59D0" w:rsidR="00166F77" w:rsidRPr="00A61B2C" w:rsidRDefault="00044559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 w:val="24"/>
          <w:szCs w:val="24"/>
        </w:rPr>
      </w:pPr>
      <w:proofErr w:type="spellStart"/>
      <w:r w:rsidRPr="00A61B2C">
        <w:rPr>
          <w:rFonts w:cs="Calibri"/>
          <w:color w:val="000000"/>
          <w:sz w:val="24"/>
          <w:szCs w:val="24"/>
        </w:rPr>
        <w:t>Marikagiusy</w:t>
      </w:r>
      <w:proofErr w:type="spellEnd"/>
      <w:r w:rsidRPr="00A61B2C">
        <w:rPr>
          <w:rFonts w:cs="Calibri"/>
          <w:color w:val="000000"/>
          <w:sz w:val="24"/>
          <w:szCs w:val="24"/>
        </w:rPr>
        <w:t xml:space="preserve"> Di </w:t>
      </w:r>
      <w:proofErr w:type="spellStart"/>
      <w:r w:rsidRPr="00A61B2C">
        <w:rPr>
          <w:rFonts w:cs="Calibri"/>
          <w:color w:val="000000"/>
          <w:sz w:val="24"/>
          <w:szCs w:val="24"/>
        </w:rPr>
        <w:t>Giacomo</w:t>
      </w:r>
      <w:r w:rsidR="00166F77" w:rsidRPr="00A61B2C">
        <w:rPr>
          <w:rFonts w:cs="Calibri"/>
          <w:i/>
          <w:color w:val="000000"/>
          <w:sz w:val="24"/>
          <w:szCs w:val="24"/>
          <w:vertAlign w:val="superscript"/>
        </w:rPr>
        <w:t>a</w:t>
      </w:r>
      <w:proofErr w:type="spellEnd"/>
      <w:r w:rsidR="00166F77" w:rsidRPr="00A61B2C">
        <w:rPr>
          <w:rFonts w:cs="Calibri"/>
          <w:color w:val="000000"/>
          <w:sz w:val="24"/>
          <w:szCs w:val="24"/>
        </w:rPr>
        <w:t xml:space="preserve">, </w:t>
      </w:r>
      <w:r w:rsidRPr="00A61B2C">
        <w:rPr>
          <w:rFonts w:cs="Calibri"/>
          <w:color w:val="000000"/>
          <w:sz w:val="24"/>
          <w:szCs w:val="24"/>
        </w:rPr>
        <w:t xml:space="preserve">Luigi </w:t>
      </w:r>
      <w:proofErr w:type="spellStart"/>
      <w:r w:rsidRPr="00A61B2C">
        <w:rPr>
          <w:rFonts w:cs="Calibri"/>
          <w:color w:val="000000"/>
          <w:sz w:val="24"/>
          <w:szCs w:val="24"/>
        </w:rPr>
        <w:t>Marra</w:t>
      </w:r>
      <w:r w:rsidR="00A61B2C">
        <w:rPr>
          <w:rFonts w:cs="Calibri"/>
          <w:i/>
          <w:color w:val="000000"/>
          <w:sz w:val="24"/>
          <w:szCs w:val="24"/>
          <w:vertAlign w:val="superscript"/>
        </w:rPr>
        <w:t>a</w:t>
      </w:r>
      <w:proofErr w:type="spellEnd"/>
      <w:r w:rsidR="00166F77" w:rsidRPr="00A61B2C">
        <w:rPr>
          <w:rFonts w:cs="Calibri"/>
          <w:color w:val="000000"/>
          <w:sz w:val="24"/>
          <w:szCs w:val="24"/>
        </w:rPr>
        <w:t xml:space="preserve"> &amp; </w:t>
      </w:r>
      <w:r w:rsidRPr="00A61B2C">
        <w:rPr>
          <w:rFonts w:cs="Calibri"/>
          <w:color w:val="000000"/>
          <w:sz w:val="24"/>
          <w:szCs w:val="24"/>
        </w:rPr>
        <w:t xml:space="preserve">Maria Elena </w:t>
      </w:r>
      <w:proofErr w:type="spellStart"/>
      <w:r w:rsidRPr="00A61B2C">
        <w:rPr>
          <w:rFonts w:cs="Calibri"/>
          <w:color w:val="000000"/>
          <w:sz w:val="24"/>
          <w:szCs w:val="24"/>
        </w:rPr>
        <w:t>Russo</w:t>
      </w:r>
      <w:r w:rsidR="00166F77" w:rsidRPr="00A61B2C">
        <w:rPr>
          <w:rFonts w:cs="Calibri"/>
          <w:i/>
          <w:color w:val="000000"/>
          <w:sz w:val="24"/>
          <w:szCs w:val="24"/>
          <w:vertAlign w:val="superscript"/>
        </w:rPr>
        <w:t>a</w:t>
      </w:r>
      <w:proofErr w:type="spellEnd"/>
    </w:p>
    <w:p w14:paraId="75EF23EA" w14:textId="652938C0" w:rsidR="00166F77" w:rsidRPr="00A61B2C" w:rsidRDefault="00166F77" w:rsidP="00A61B2C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i/>
          <w:color w:val="000000"/>
          <w:szCs w:val="24"/>
        </w:rPr>
      </w:pPr>
      <w:r w:rsidRPr="00A61B2C">
        <w:rPr>
          <w:rFonts w:cs="Calibri"/>
          <w:i/>
          <w:color w:val="000000"/>
          <w:szCs w:val="24"/>
          <w:vertAlign w:val="superscript"/>
        </w:rPr>
        <w:t>a</w:t>
      </w:r>
      <w:r w:rsidRPr="00A61B2C">
        <w:rPr>
          <w:rFonts w:cs="Calibri"/>
          <w:color w:val="000000"/>
          <w:szCs w:val="24"/>
        </w:rPr>
        <w:t xml:space="preserve"> </w:t>
      </w:r>
      <w:r w:rsidR="00A61B2C" w:rsidRPr="00A61B2C">
        <w:rPr>
          <w:rFonts w:cs="Calibri"/>
          <w:color w:val="000000"/>
          <w:szCs w:val="24"/>
        </w:rPr>
        <w:t>Dipartimento di Ingegneria C</w:t>
      </w:r>
      <w:r w:rsidR="00A61B2C">
        <w:rPr>
          <w:rFonts w:cs="Calibri"/>
          <w:color w:val="000000"/>
          <w:szCs w:val="24"/>
        </w:rPr>
        <w:t>himica dei Materiali e della Produzione Industriale, Università degli Studi di Napoli Federico II</w:t>
      </w:r>
      <w:r w:rsidR="00B5661E">
        <w:rPr>
          <w:rFonts w:cs="Calibri"/>
          <w:color w:val="000000"/>
          <w:szCs w:val="24"/>
        </w:rPr>
        <w:t xml:space="preserve">, </w:t>
      </w:r>
      <w:proofErr w:type="gramStart"/>
      <w:r w:rsidR="00B5661E">
        <w:rPr>
          <w:rFonts w:cs="Calibri"/>
          <w:color w:val="000000"/>
          <w:szCs w:val="24"/>
        </w:rPr>
        <w:t>P.le</w:t>
      </w:r>
      <w:proofErr w:type="gramEnd"/>
      <w:r w:rsidR="00B5661E">
        <w:rPr>
          <w:rFonts w:cs="Calibri"/>
          <w:color w:val="000000"/>
          <w:szCs w:val="24"/>
        </w:rPr>
        <w:t xml:space="preserve"> V. Tecchio 80, 80125, Napoli, Italy</w:t>
      </w:r>
    </w:p>
    <w:p w14:paraId="7241BF84" w14:textId="088D4F3E" w:rsidR="00166F77" w:rsidRPr="00B5661E" w:rsidRDefault="00166F77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</w:rPr>
      </w:pPr>
      <w:r w:rsidRPr="00B5661E">
        <w:rPr>
          <w:rFonts w:cs="Calibri"/>
          <w:color w:val="000000"/>
          <w:szCs w:val="24"/>
        </w:rPr>
        <w:t xml:space="preserve">E-mail: </w:t>
      </w:r>
      <w:hyperlink r:id="rId8" w:history="1">
        <w:r w:rsidR="00A61B2C" w:rsidRPr="00B5661E">
          <w:rPr>
            <w:rStyle w:val="Collegamentoipertestuale"/>
            <w:rFonts w:cs="Calibri"/>
            <w:i/>
            <w:szCs w:val="24"/>
          </w:rPr>
          <w:t>merusso@unina.com</w:t>
        </w:r>
      </w:hyperlink>
    </w:p>
    <w:p w14:paraId="25B08EA4" w14:textId="77777777" w:rsidR="00A56CC3" w:rsidRDefault="00A56CC3" w:rsidP="0077184E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</w:p>
    <w:p w14:paraId="13201EBF" w14:textId="0A22EFF3" w:rsidR="00A80026" w:rsidRDefault="00E9327B" w:rsidP="0077184E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E9327B">
        <w:rPr>
          <w:rFonts w:cs="Calibri"/>
          <w:bCs/>
          <w:color w:val="000000"/>
          <w:sz w:val="24"/>
          <w:szCs w:val="24"/>
          <w:lang w:val="en-GB"/>
        </w:rPr>
        <w:t>Biocatalytic processes present new opportunities for CO</w:t>
      </w:r>
      <w:r w:rsidRPr="00E9327B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Pr="00E9327B">
        <w:rPr>
          <w:rFonts w:cs="Calibri"/>
          <w:bCs/>
          <w:color w:val="000000"/>
          <w:sz w:val="24"/>
          <w:szCs w:val="24"/>
          <w:lang w:val="en-GB"/>
        </w:rPr>
        <w:t xml:space="preserve">-based production by combining </w:t>
      </w:r>
      <w:r w:rsidR="00AD4C0C">
        <w:rPr>
          <w:rFonts w:cs="Calibri"/>
          <w:bCs/>
          <w:color w:val="000000"/>
          <w:sz w:val="24"/>
          <w:szCs w:val="24"/>
          <w:lang w:val="en-GB"/>
        </w:rPr>
        <w:t>CO</w:t>
      </w:r>
      <w:r w:rsidR="00AD4C0C" w:rsidRPr="00AD4C0C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AD4C0C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Pr="00E9327B">
        <w:rPr>
          <w:rFonts w:cs="Calibri"/>
          <w:bCs/>
          <w:color w:val="000000"/>
          <w:sz w:val="24"/>
          <w:szCs w:val="24"/>
          <w:lang w:val="en-GB"/>
        </w:rPr>
        <w:t xml:space="preserve">with renewable raw materials, including waste biomass. This study introduces a novel enzymatic technology for synthesizing bio-based carboxylic acids, which serve as building blocks for the pharmaceutical, food, and biopolymer industries. We propose a two-step enzymatic cascade for the efficient utilization of </w:t>
      </w:r>
      <w:r w:rsidR="000B0811">
        <w:rPr>
          <w:rFonts w:cs="Calibri"/>
          <w:bCs/>
          <w:color w:val="000000"/>
          <w:sz w:val="24"/>
          <w:szCs w:val="24"/>
          <w:lang w:val="en-GB"/>
        </w:rPr>
        <w:t>CO</w:t>
      </w:r>
      <w:r w:rsidR="000B0811" w:rsidRPr="000B0811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Pr="00E9327B">
        <w:rPr>
          <w:rFonts w:cs="Calibri"/>
          <w:bCs/>
          <w:color w:val="000000"/>
          <w:sz w:val="24"/>
          <w:szCs w:val="24"/>
          <w:lang w:val="en-GB"/>
        </w:rPr>
        <w:t>. The process consists of enzymatic CO</w:t>
      </w:r>
      <w:r w:rsidRPr="00E9327B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Pr="00E9327B">
        <w:rPr>
          <w:rFonts w:cs="Calibri"/>
          <w:bCs/>
          <w:color w:val="000000"/>
          <w:sz w:val="24"/>
          <w:szCs w:val="24"/>
          <w:lang w:val="en-GB"/>
        </w:rPr>
        <w:t xml:space="preserve"> reactive absorption followed by the fixation of bicarbonate into carboxylic acids derived from phenolic</w:t>
      </w:r>
      <w:r w:rsidR="000B0811">
        <w:rPr>
          <w:rFonts w:cs="Calibri"/>
          <w:bCs/>
          <w:color w:val="000000"/>
          <w:sz w:val="24"/>
          <w:szCs w:val="24"/>
          <w:lang w:val="en-GB"/>
        </w:rPr>
        <w:t xml:space="preserve">s and </w:t>
      </w:r>
      <w:proofErr w:type="spellStart"/>
      <w:r w:rsidRPr="00E9327B">
        <w:rPr>
          <w:rFonts w:cs="Calibri"/>
          <w:bCs/>
          <w:color w:val="000000"/>
          <w:sz w:val="24"/>
          <w:szCs w:val="24"/>
          <w:lang w:val="en-GB"/>
        </w:rPr>
        <w:t>catalyzed</w:t>
      </w:r>
      <w:proofErr w:type="spellEnd"/>
      <w:r w:rsidRPr="00E9327B">
        <w:rPr>
          <w:rFonts w:cs="Calibri"/>
          <w:bCs/>
          <w:color w:val="000000"/>
          <w:sz w:val="24"/>
          <w:szCs w:val="24"/>
          <w:lang w:val="en-GB"/>
        </w:rPr>
        <w:t xml:space="preserve"> by non-oxidative decarboxylases.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The feasibility of the process was </w:t>
      </w:r>
      <w:r w:rsidR="002732F6">
        <w:rPr>
          <w:rFonts w:cs="Calibri"/>
          <w:bCs/>
          <w:color w:val="000000"/>
          <w:sz w:val="24"/>
          <w:szCs w:val="24"/>
          <w:lang w:val="en-GB"/>
        </w:rPr>
        <w:t>assessed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for a pilot scale CCU process where </w:t>
      </w:r>
      <w:r w:rsidR="00DD4744">
        <w:rPr>
          <w:rFonts w:cs="Calibri"/>
          <w:bCs/>
          <w:color w:val="000000"/>
          <w:sz w:val="24"/>
          <w:szCs w:val="24"/>
          <w:lang w:val="en-GB"/>
        </w:rPr>
        <w:t xml:space="preserve">the </w:t>
      </w:r>
      <w:r w:rsidR="0074052D">
        <w:rPr>
          <w:rFonts w:cs="Calibri"/>
          <w:bCs/>
          <w:color w:val="000000"/>
          <w:sz w:val="24"/>
          <w:szCs w:val="24"/>
          <w:lang w:val="en-GB"/>
        </w:rPr>
        <w:t>CO</w:t>
      </w:r>
      <w:r w:rsidR="0074052D" w:rsidRPr="003B1F50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74052D">
        <w:rPr>
          <w:rFonts w:cs="Calibri"/>
          <w:bCs/>
          <w:color w:val="000000"/>
          <w:sz w:val="24"/>
          <w:szCs w:val="24"/>
          <w:lang w:val="en-GB"/>
        </w:rPr>
        <w:t xml:space="preserve"> from flue gas was absorbed in K</w:t>
      </w:r>
      <w:r w:rsidR="0074052D" w:rsidRPr="003B1F50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74052D">
        <w:rPr>
          <w:rFonts w:cs="Calibri"/>
          <w:bCs/>
          <w:color w:val="000000"/>
          <w:sz w:val="24"/>
          <w:szCs w:val="24"/>
          <w:lang w:val="en-GB"/>
        </w:rPr>
        <w:t>CO</w:t>
      </w:r>
      <w:r w:rsidR="0074052D" w:rsidRPr="003B1F50">
        <w:rPr>
          <w:rFonts w:cs="Calibri"/>
          <w:bCs/>
          <w:color w:val="000000"/>
          <w:sz w:val="24"/>
          <w:szCs w:val="24"/>
          <w:vertAlign w:val="subscript"/>
          <w:lang w:val="en-GB"/>
        </w:rPr>
        <w:t>3</w:t>
      </w:r>
      <w:r w:rsidR="0074052D">
        <w:rPr>
          <w:rFonts w:cs="Calibri"/>
          <w:bCs/>
          <w:color w:val="000000"/>
          <w:sz w:val="24"/>
          <w:szCs w:val="24"/>
          <w:lang w:val="en-GB"/>
        </w:rPr>
        <w:t xml:space="preserve"> solvent </w:t>
      </w:r>
      <w:r w:rsidR="00024FD0">
        <w:rPr>
          <w:rFonts w:cs="Calibri"/>
          <w:bCs/>
          <w:color w:val="000000"/>
          <w:sz w:val="24"/>
          <w:szCs w:val="24"/>
          <w:lang w:val="en-GB"/>
        </w:rPr>
        <w:t>supplemented with immobilized carbonic anhydrase</w:t>
      </w:r>
      <w:r w:rsidR="00C76A00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552380">
        <w:rPr>
          <w:rFonts w:cs="Calibri"/>
          <w:bCs/>
          <w:color w:val="000000"/>
          <w:sz w:val="24"/>
          <w:szCs w:val="24"/>
          <w:lang w:val="en-GB"/>
        </w:rPr>
        <w:t xml:space="preserve">(CA) </w:t>
      </w:r>
      <w:r w:rsidR="003B1F50" w:rsidRPr="00A80026">
        <w:rPr>
          <w:rFonts w:cs="Calibri"/>
          <w:bCs/>
          <w:color w:val="000000"/>
          <w:sz w:val="24"/>
          <w:szCs w:val="24"/>
          <w:lang w:val="en-GB"/>
        </w:rPr>
        <w:t>[1]</w:t>
      </w:r>
      <w:r w:rsidR="003B1F50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C76A00">
        <w:rPr>
          <w:rFonts w:cs="Calibri"/>
          <w:bCs/>
          <w:color w:val="000000"/>
          <w:sz w:val="24"/>
          <w:szCs w:val="24"/>
          <w:lang w:val="en-GB"/>
        </w:rPr>
        <w:t xml:space="preserve">and </w:t>
      </w:r>
      <w:r w:rsidR="00C76A00" w:rsidRPr="00A80026">
        <w:rPr>
          <w:rFonts w:cs="Calibri"/>
          <w:bCs/>
          <w:color w:val="000000"/>
          <w:sz w:val="24"/>
          <w:szCs w:val="24"/>
          <w:lang w:val="en-GB"/>
        </w:rPr>
        <w:t xml:space="preserve">phenolic </w:t>
      </w:r>
      <w:r w:rsidR="00024FD0">
        <w:rPr>
          <w:rFonts w:cs="Calibri"/>
          <w:bCs/>
          <w:color w:val="000000"/>
          <w:sz w:val="24"/>
          <w:szCs w:val="24"/>
          <w:lang w:val="en-GB"/>
        </w:rPr>
        <w:t>substrates</w:t>
      </w:r>
      <w:r w:rsidR="00C76A00" w:rsidRPr="00A80026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C76A00">
        <w:rPr>
          <w:rFonts w:cs="Calibri"/>
          <w:bCs/>
          <w:color w:val="000000"/>
          <w:sz w:val="24"/>
          <w:szCs w:val="24"/>
          <w:lang w:val="en-GB"/>
        </w:rPr>
        <w:t>(</w:t>
      </w:r>
      <w:r w:rsidR="00C76A00" w:rsidRPr="009A06BE">
        <w:rPr>
          <w:rFonts w:cs="Calibri"/>
          <w:bCs/>
          <w:i/>
          <w:iCs/>
          <w:color w:val="000000"/>
          <w:sz w:val="24"/>
          <w:szCs w:val="24"/>
          <w:lang w:val="en-GB"/>
        </w:rPr>
        <w:t>e.g.</w:t>
      </w:r>
      <w:r w:rsidR="00C76A00">
        <w:rPr>
          <w:rFonts w:cs="Calibri"/>
          <w:bCs/>
          <w:color w:val="000000"/>
          <w:sz w:val="24"/>
          <w:szCs w:val="24"/>
          <w:lang w:val="en-GB"/>
        </w:rPr>
        <w:t xml:space="preserve"> catechol, orcinol) </w:t>
      </w:r>
      <w:r w:rsidR="003B1F50">
        <w:rPr>
          <w:rFonts w:cs="Calibri"/>
          <w:bCs/>
          <w:color w:val="000000"/>
          <w:sz w:val="24"/>
          <w:szCs w:val="24"/>
          <w:lang w:val="en-GB"/>
        </w:rPr>
        <w:t xml:space="preserve">- </w:t>
      </w:r>
      <w:r w:rsidR="00C76A00" w:rsidRPr="00A80026">
        <w:rPr>
          <w:rFonts w:cs="Calibri"/>
          <w:bCs/>
          <w:color w:val="000000"/>
          <w:sz w:val="24"/>
          <w:szCs w:val="24"/>
          <w:lang w:val="en-GB"/>
        </w:rPr>
        <w:t>derived from the fractionation of pyrolytic bio-oils</w:t>
      </w:r>
      <w:r w:rsidR="00C76A00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3B1F50">
        <w:rPr>
          <w:rFonts w:cs="Calibri"/>
          <w:bCs/>
          <w:color w:val="000000"/>
          <w:sz w:val="24"/>
          <w:szCs w:val="24"/>
          <w:lang w:val="en-GB"/>
        </w:rPr>
        <w:t xml:space="preserve">- </w:t>
      </w:r>
      <w:r w:rsidR="00024FD0">
        <w:rPr>
          <w:rFonts w:cs="Calibri"/>
          <w:bCs/>
          <w:color w:val="000000"/>
          <w:sz w:val="24"/>
          <w:szCs w:val="24"/>
          <w:lang w:val="en-GB"/>
        </w:rPr>
        <w:t>were considered for enzymatic carboxylation in the bicarbonate</w:t>
      </w:r>
      <w:r w:rsidR="003B1F50">
        <w:rPr>
          <w:rFonts w:cs="Calibri"/>
          <w:bCs/>
          <w:color w:val="000000"/>
          <w:sz w:val="24"/>
          <w:szCs w:val="24"/>
          <w:lang w:val="en-GB"/>
        </w:rPr>
        <w:t>-</w:t>
      </w:r>
      <w:r w:rsidR="00024FD0">
        <w:rPr>
          <w:rFonts w:cs="Calibri"/>
          <w:bCs/>
          <w:color w:val="000000"/>
          <w:sz w:val="24"/>
          <w:szCs w:val="24"/>
          <w:lang w:val="en-GB"/>
        </w:rPr>
        <w:t>rich solvent</w:t>
      </w:r>
      <w:r w:rsidR="003B1F50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2732F6">
        <w:rPr>
          <w:rFonts w:cs="Calibri"/>
          <w:bCs/>
          <w:color w:val="000000"/>
          <w:sz w:val="24"/>
          <w:szCs w:val="24"/>
          <w:lang w:val="en-GB"/>
        </w:rPr>
        <w:t>[</w:t>
      </w:r>
      <w:r w:rsidR="00EC6A01">
        <w:rPr>
          <w:rFonts w:cs="Calibri"/>
          <w:bCs/>
          <w:color w:val="000000"/>
          <w:sz w:val="24"/>
          <w:szCs w:val="24"/>
          <w:lang w:val="en-GB"/>
        </w:rPr>
        <w:t>2</w:t>
      </w:r>
      <w:r w:rsidR="002732F6">
        <w:rPr>
          <w:rFonts w:cs="Calibri"/>
          <w:bCs/>
          <w:color w:val="000000"/>
          <w:sz w:val="24"/>
          <w:szCs w:val="24"/>
          <w:lang w:val="en-GB"/>
        </w:rPr>
        <w:t>]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. </w:t>
      </w:r>
      <w:r w:rsidR="006B116A">
        <w:rPr>
          <w:rFonts w:cs="Calibri"/>
          <w:bCs/>
          <w:color w:val="000000"/>
          <w:sz w:val="24"/>
          <w:szCs w:val="24"/>
          <w:lang w:val="en-GB"/>
        </w:rPr>
        <w:t xml:space="preserve">Immobilization of both enzymes is crucial for the development of </w:t>
      </w:r>
      <w:r w:rsidR="00996111">
        <w:rPr>
          <w:rFonts w:cs="Calibri"/>
          <w:bCs/>
          <w:color w:val="000000"/>
          <w:sz w:val="24"/>
          <w:szCs w:val="24"/>
          <w:lang w:val="en-GB"/>
        </w:rPr>
        <w:t>CO</w:t>
      </w:r>
      <w:r w:rsidR="00996111" w:rsidRPr="00996111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996111">
        <w:rPr>
          <w:rFonts w:cs="Calibri"/>
          <w:bCs/>
          <w:color w:val="000000"/>
          <w:sz w:val="24"/>
          <w:szCs w:val="24"/>
          <w:lang w:val="en-GB"/>
        </w:rPr>
        <w:t xml:space="preserve"> capture and conversion units. </w:t>
      </w:r>
      <w:r w:rsidR="00CE0DF3">
        <w:rPr>
          <w:rFonts w:cs="Calibri"/>
          <w:bCs/>
          <w:color w:val="000000"/>
          <w:sz w:val="24"/>
          <w:szCs w:val="24"/>
          <w:lang w:val="en-GB"/>
        </w:rPr>
        <w:t xml:space="preserve">Thermostable </w:t>
      </w:r>
      <w:r w:rsidR="00552380">
        <w:rPr>
          <w:rFonts w:cs="Calibri"/>
          <w:bCs/>
          <w:color w:val="000000"/>
          <w:sz w:val="24"/>
          <w:szCs w:val="24"/>
          <w:lang w:val="en-GB"/>
        </w:rPr>
        <w:t>CA</w:t>
      </w:r>
      <w:r w:rsidR="00CE0DF3">
        <w:rPr>
          <w:rFonts w:cs="Calibri"/>
          <w:bCs/>
          <w:color w:val="000000"/>
          <w:sz w:val="24"/>
          <w:szCs w:val="24"/>
          <w:lang w:val="en-GB"/>
        </w:rPr>
        <w:t>s</w:t>
      </w:r>
      <w:r w:rsidR="00552380">
        <w:rPr>
          <w:rFonts w:cs="Calibri"/>
          <w:bCs/>
          <w:color w:val="000000"/>
          <w:sz w:val="24"/>
          <w:szCs w:val="24"/>
          <w:lang w:val="en-GB"/>
        </w:rPr>
        <w:t xml:space="preserve"> w</w:t>
      </w:r>
      <w:r w:rsidR="00CE0DF3">
        <w:rPr>
          <w:rFonts w:cs="Calibri"/>
          <w:bCs/>
          <w:color w:val="000000"/>
          <w:sz w:val="24"/>
          <w:szCs w:val="24"/>
          <w:lang w:val="en-GB"/>
        </w:rPr>
        <w:t xml:space="preserve">ere </w:t>
      </w:r>
      <w:r w:rsidR="00552380">
        <w:rPr>
          <w:rFonts w:cs="Calibri"/>
          <w:bCs/>
          <w:color w:val="000000"/>
          <w:sz w:val="24"/>
          <w:szCs w:val="24"/>
          <w:lang w:val="en-GB"/>
        </w:rPr>
        <w:t xml:space="preserve">successfully </w:t>
      </w:r>
      <w:r w:rsidR="009A37D2">
        <w:rPr>
          <w:rFonts w:cs="Calibri"/>
          <w:bCs/>
          <w:color w:val="000000"/>
          <w:sz w:val="24"/>
          <w:szCs w:val="24"/>
          <w:lang w:val="en-GB"/>
        </w:rPr>
        <w:t xml:space="preserve">immobilized </w:t>
      </w:r>
      <w:r w:rsidR="00552380">
        <w:rPr>
          <w:rFonts w:cs="Calibri"/>
          <w:bCs/>
          <w:color w:val="000000"/>
          <w:sz w:val="24"/>
          <w:szCs w:val="24"/>
          <w:lang w:val="en-GB"/>
        </w:rPr>
        <w:t>by</w:t>
      </w:r>
      <w:r w:rsidR="004F70DE">
        <w:rPr>
          <w:rFonts w:cs="Calibri"/>
          <w:bCs/>
          <w:color w:val="000000"/>
          <w:sz w:val="24"/>
          <w:szCs w:val="24"/>
          <w:lang w:val="en-GB"/>
        </w:rPr>
        <w:t xml:space="preserve"> several techniques in previous studies </w:t>
      </w:r>
      <w:r w:rsidR="009A37D2">
        <w:rPr>
          <w:rFonts w:cs="Calibri"/>
          <w:bCs/>
          <w:color w:val="000000"/>
          <w:sz w:val="24"/>
          <w:szCs w:val="24"/>
          <w:lang w:val="en-GB"/>
        </w:rPr>
        <w:t xml:space="preserve">[1]. </w:t>
      </w:r>
      <w:r w:rsidR="00CE0DF3">
        <w:rPr>
          <w:rFonts w:cs="Calibri"/>
          <w:bCs/>
          <w:color w:val="000000"/>
          <w:sz w:val="24"/>
          <w:szCs w:val="24"/>
          <w:lang w:val="en-GB"/>
        </w:rPr>
        <w:t xml:space="preserve">Now </w:t>
      </w:r>
      <w:r w:rsidR="00920F68">
        <w:rPr>
          <w:rFonts w:cs="Calibri"/>
          <w:bCs/>
          <w:color w:val="000000"/>
          <w:sz w:val="24"/>
          <w:szCs w:val="24"/>
          <w:lang w:val="en-GB"/>
        </w:rPr>
        <w:t>we are focusing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on the immobilization of </w:t>
      </w:r>
      <w:r w:rsidR="009A37D2">
        <w:rPr>
          <w:rFonts w:cs="Calibri"/>
          <w:bCs/>
          <w:color w:val="000000"/>
          <w:sz w:val="24"/>
          <w:szCs w:val="24"/>
          <w:lang w:val="en-GB"/>
        </w:rPr>
        <w:t xml:space="preserve">the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cofactor-free </w:t>
      </w:r>
      <w:r w:rsidR="009A37D2" w:rsidRPr="00A80026">
        <w:rPr>
          <w:rFonts w:cs="Calibri"/>
          <w:bCs/>
          <w:color w:val="000000"/>
          <w:sz w:val="24"/>
          <w:szCs w:val="24"/>
          <w:lang w:val="en-GB"/>
        </w:rPr>
        <w:t xml:space="preserve">2,3 dihydroxybenzoic acid decarboxylase (2,3 DHBD)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to unlock the design and set up of a continuous lab-scale bioreactor. </w:t>
      </w:r>
      <w:r w:rsidR="003409EA">
        <w:rPr>
          <w:rFonts w:cs="Calibri"/>
          <w:bCs/>
          <w:color w:val="000000"/>
          <w:sz w:val="24"/>
          <w:szCs w:val="24"/>
          <w:lang w:val="en-GB"/>
        </w:rPr>
        <w:t>To this aim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, the analytical chromatographic </w:t>
      </w:r>
      <w:r w:rsidR="003409EA">
        <w:rPr>
          <w:rFonts w:cs="Calibri"/>
          <w:bCs/>
          <w:color w:val="000000"/>
          <w:sz w:val="24"/>
          <w:szCs w:val="24"/>
          <w:lang w:val="en-GB"/>
        </w:rPr>
        <w:t>methods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defined to assess the decarboxylation activity </w:t>
      </w:r>
      <w:r w:rsidR="004A0AFB">
        <w:rPr>
          <w:rFonts w:cs="Calibri"/>
          <w:bCs/>
          <w:color w:val="000000"/>
          <w:sz w:val="24"/>
          <w:szCs w:val="24"/>
          <w:lang w:val="en-GB"/>
        </w:rPr>
        <w:t>were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adapted to conditions </w:t>
      </w:r>
      <w:r w:rsidR="00CF7B78">
        <w:rPr>
          <w:rFonts w:cs="Calibri"/>
          <w:bCs/>
          <w:color w:val="000000"/>
          <w:sz w:val="24"/>
          <w:szCs w:val="24"/>
          <w:lang w:val="en-GB"/>
        </w:rPr>
        <w:t>that mimic</w:t>
      </w:r>
      <w:r w:rsidR="00CF7B78" w:rsidRPr="00A80026">
        <w:rPr>
          <w:rFonts w:cs="Calibri"/>
          <w:bCs/>
          <w:color w:val="000000"/>
          <w:sz w:val="24"/>
          <w:szCs w:val="24"/>
          <w:lang w:val="en-GB"/>
        </w:rPr>
        <w:t xml:space="preserve"> the CO</w:t>
      </w:r>
      <w:r w:rsidR="00CF7B78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CF7B78" w:rsidRPr="00A80026">
        <w:rPr>
          <w:rFonts w:cs="Calibri"/>
          <w:bCs/>
          <w:color w:val="000000"/>
          <w:sz w:val="24"/>
          <w:szCs w:val="24"/>
          <w:lang w:val="en-GB"/>
        </w:rPr>
        <w:t xml:space="preserve"> absorption solvents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(</w:t>
      </w:r>
      <w:r w:rsidR="00A80026" w:rsidRPr="00A80026">
        <w:rPr>
          <w:rFonts w:cs="Calibri"/>
          <w:bCs/>
          <w:i/>
          <w:iCs/>
          <w:color w:val="000000"/>
          <w:sz w:val="24"/>
          <w:szCs w:val="24"/>
          <w:lang w:val="en-GB"/>
        </w:rPr>
        <w:t>i.e.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EB0C7F" w:rsidRPr="00A80026">
        <w:rPr>
          <w:rFonts w:cs="Calibri"/>
          <w:bCs/>
          <w:color w:val="000000"/>
          <w:sz w:val="24"/>
          <w:szCs w:val="24"/>
          <w:lang w:val="en-GB"/>
        </w:rPr>
        <w:t>KHCO</w:t>
      </w:r>
      <w:r w:rsidR="00EB0C7F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3</w:t>
      </w:r>
      <w:r w:rsidR="00EB0C7F" w:rsidRPr="00A80026">
        <w:rPr>
          <w:rFonts w:cs="Calibri"/>
          <w:bCs/>
          <w:color w:val="000000"/>
          <w:sz w:val="24"/>
          <w:szCs w:val="24"/>
          <w:lang w:val="en-GB"/>
        </w:rPr>
        <w:t>/K</w:t>
      </w:r>
      <w:r w:rsidR="00EB0C7F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EB0C7F" w:rsidRPr="00A80026">
        <w:rPr>
          <w:rFonts w:cs="Calibri"/>
          <w:bCs/>
          <w:color w:val="000000"/>
          <w:sz w:val="24"/>
          <w:szCs w:val="24"/>
          <w:lang w:val="en-GB"/>
        </w:rPr>
        <w:t>CO</w:t>
      </w:r>
      <w:r w:rsidR="00EB0C7F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3</w:t>
      </w:r>
      <w:r w:rsidR="00EB0C7F" w:rsidRPr="00A80026">
        <w:rPr>
          <w:rFonts w:cs="Calibri"/>
          <w:bCs/>
          <w:color w:val="000000"/>
          <w:sz w:val="24"/>
          <w:szCs w:val="24"/>
          <w:lang w:val="en-GB"/>
        </w:rPr>
        <w:t xml:space="preserve"> solutions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). Second, the </w:t>
      </w:r>
      <w:r w:rsidR="002213E7">
        <w:rPr>
          <w:rFonts w:cs="Calibri"/>
          <w:bCs/>
          <w:color w:val="000000"/>
          <w:sz w:val="24"/>
          <w:szCs w:val="24"/>
          <w:lang w:val="en-GB"/>
        </w:rPr>
        <w:t xml:space="preserve">carboxylation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activity of free 2,3 DHBD was assessed against a model substrate (catechol) in KHCO</w:t>
      </w:r>
      <w:r w:rsidR="00A80026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3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/K</w:t>
      </w:r>
      <w:r w:rsidR="00A80026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2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CO</w:t>
      </w:r>
      <w:r w:rsidR="00A80026" w:rsidRPr="00A80026">
        <w:rPr>
          <w:rFonts w:cs="Calibri"/>
          <w:bCs/>
          <w:color w:val="000000"/>
          <w:sz w:val="24"/>
          <w:szCs w:val="24"/>
          <w:vertAlign w:val="subscript"/>
          <w:lang w:val="en-GB"/>
        </w:rPr>
        <w:t>3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solutions. Finally, a wide set of enzyme immobilization techniques have been selected for screening and optimization against</w:t>
      </w:r>
      <w:r w:rsidR="008C4C5F">
        <w:rPr>
          <w:rFonts w:cs="Calibri"/>
          <w:bCs/>
          <w:color w:val="000000"/>
          <w:sz w:val="24"/>
          <w:szCs w:val="24"/>
          <w:lang w:val="en-GB"/>
        </w:rPr>
        <w:t xml:space="preserve"> the </w:t>
      </w:r>
      <w:r w:rsidR="004A07C3">
        <w:rPr>
          <w:rFonts w:cs="Calibri"/>
          <w:bCs/>
          <w:color w:val="000000"/>
          <w:sz w:val="24"/>
          <w:szCs w:val="24"/>
          <w:lang w:val="en-GB"/>
        </w:rPr>
        <w:t>homo-tetramer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A07C3">
        <w:rPr>
          <w:rFonts w:cs="Calibri"/>
          <w:bCs/>
          <w:color w:val="000000"/>
          <w:sz w:val="24"/>
          <w:szCs w:val="24"/>
          <w:lang w:val="en-GB"/>
        </w:rPr>
        <w:t xml:space="preserve">structure of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2,3 DHBD. </w:t>
      </w:r>
      <w:r w:rsidR="00292EC3">
        <w:rPr>
          <w:rFonts w:cs="Calibri"/>
          <w:bCs/>
          <w:color w:val="000000"/>
          <w:sz w:val="24"/>
          <w:szCs w:val="24"/>
          <w:lang w:val="en-GB"/>
        </w:rPr>
        <w:t xml:space="preserve">These techniques include </w:t>
      </w:r>
      <w:r w:rsidR="00F36FF7" w:rsidRPr="00A80026">
        <w:rPr>
          <w:rFonts w:cs="Calibri"/>
          <w:bCs/>
          <w:color w:val="000000"/>
          <w:sz w:val="24"/>
          <w:szCs w:val="24"/>
          <w:lang w:val="en-GB"/>
        </w:rPr>
        <w:t>cross</w:t>
      </w:r>
      <w:r w:rsidR="008A346F">
        <w:rPr>
          <w:rFonts w:cs="Calibri"/>
          <w:bCs/>
          <w:color w:val="000000"/>
          <w:sz w:val="24"/>
          <w:szCs w:val="24"/>
          <w:lang w:val="en-GB"/>
        </w:rPr>
        <w:t>-</w:t>
      </w:r>
      <w:r w:rsidR="00F36FF7" w:rsidRPr="00A80026">
        <w:rPr>
          <w:rFonts w:cs="Calibri"/>
          <w:bCs/>
          <w:color w:val="000000"/>
          <w:sz w:val="24"/>
          <w:szCs w:val="24"/>
          <w:lang w:val="en-GB"/>
        </w:rPr>
        <w:t xml:space="preserve">linking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on granular solids activated with amino</w:t>
      </w:r>
      <w:r w:rsidR="00BB73A1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groups</w:t>
      </w:r>
      <w:r w:rsidR="00F36FF7">
        <w:rPr>
          <w:rFonts w:cs="Calibri"/>
          <w:bCs/>
          <w:color w:val="000000"/>
          <w:sz w:val="24"/>
          <w:szCs w:val="24"/>
          <w:lang w:val="en-GB"/>
        </w:rPr>
        <w:t>;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direct binding with epoxy-activated resins</w:t>
      </w:r>
      <w:r w:rsidR="00F36FF7">
        <w:rPr>
          <w:rFonts w:cs="Calibri"/>
          <w:bCs/>
          <w:color w:val="000000"/>
          <w:sz w:val="24"/>
          <w:szCs w:val="24"/>
          <w:lang w:val="en-GB"/>
        </w:rPr>
        <w:t>;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F36FF7">
        <w:rPr>
          <w:rFonts w:cs="Calibri"/>
          <w:bCs/>
          <w:color w:val="000000"/>
          <w:sz w:val="24"/>
          <w:szCs w:val="24"/>
          <w:lang w:val="en-GB"/>
        </w:rPr>
        <w:t xml:space="preserve">and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cross-linked enzyme aggregates. </w:t>
      </w:r>
      <w:r w:rsidR="00CD643D">
        <w:rPr>
          <w:rFonts w:cs="Calibri"/>
          <w:bCs/>
          <w:color w:val="000000"/>
          <w:sz w:val="24"/>
          <w:szCs w:val="24"/>
          <w:lang w:val="en-GB"/>
        </w:rPr>
        <w:t>I</w:t>
      </w:r>
      <w:r w:rsidR="00CD643D" w:rsidRPr="00A80026">
        <w:rPr>
          <w:rFonts w:cs="Calibri"/>
          <w:bCs/>
          <w:color w:val="000000"/>
          <w:sz w:val="24"/>
          <w:szCs w:val="24"/>
          <w:lang w:val="en-GB"/>
        </w:rPr>
        <w:t xml:space="preserve">mmobilized </w:t>
      </w:r>
      <w:r w:rsidR="00CD643D">
        <w:rPr>
          <w:rFonts w:cs="Calibri"/>
          <w:bCs/>
          <w:color w:val="000000"/>
          <w:sz w:val="24"/>
          <w:szCs w:val="24"/>
          <w:lang w:val="en-GB"/>
        </w:rPr>
        <w:t>e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nzyme loading and activity data </w:t>
      </w:r>
      <w:r w:rsidR="00F36FF7">
        <w:rPr>
          <w:rFonts w:cs="Calibri"/>
          <w:bCs/>
          <w:color w:val="000000"/>
          <w:sz w:val="24"/>
          <w:szCs w:val="24"/>
          <w:lang w:val="en-GB"/>
        </w:rPr>
        <w:t xml:space="preserve">will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inform a theoretical model of</w:t>
      </w:r>
      <w:r w:rsidR="008C62F5">
        <w:rPr>
          <w:rFonts w:cs="Calibri"/>
          <w:bCs/>
          <w:color w:val="000000"/>
          <w:sz w:val="24"/>
          <w:szCs w:val="24"/>
          <w:lang w:val="en-GB"/>
        </w:rPr>
        <w:t xml:space="preserve"> a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 lab</w:t>
      </w:r>
      <w:r w:rsidR="00BB73A1">
        <w:rPr>
          <w:rFonts w:cs="Calibri"/>
          <w:bCs/>
          <w:color w:val="000000"/>
          <w:sz w:val="24"/>
          <w:szCs w:val="24"/>
          <w:lang w:val="en-GB"/>
        </w:rPr>
        <w:t>-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scale bioreactor </w:t>
      </w:r>
      <w:r w:rsidR="002248ED">
        <w:rPr>
          <w:rFonts w:cs="Calibri"/>
          <w:bCs/>
          <w:color w:val="000000"/>
          <w:sz w:val="24"/>
          <w:szCs w:val="24"/>
          <w:lang w:val="en-GB"/>
        </w:rPr>
        <w:t xml:space="preserve">that accounts for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 xml:space="preserve">both </w:t>
      </w:r>
      <w:r w:rsidR="00F36FF7">
        <w:rPr>
          <w:rFonts w:cs="Calibri"/>
          <w:bCs/>
          <w:color w:val="000000"/>
          <w:sz w:val="24"/>
          <w:szCs w:val="24"/>
          <w:lang w:val="en-GB"/>
        </w:rPr>
        <w:t xml:space="preserve">the </w:t>
      </w:r>
      <w:r w:rsidR="00A80026" w:rsidRPr="00A80026">
        <w:rPr>
          <w:rFonts w:cs="Calibri"/>
          <w:bCs/>
          <w:color w:val="000000"/>
          <w:sz w:val="24"/>
          <w:szCs w:val="24"/>
          <w:lang w:val="en-GB"/>
        </w:rPr>
        <w:t>reversible enzymatic carboxylation kinetics and the physical properties of the biocatalyst support.</w:t>
      </w:r>
    </w:p>
    <w:p w14:paraId="698759CF" w14:textId="77777777" w:rsidR="00A56CC3" w:rsidRDefault="00A56CC3" w:rsidP="0077184E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</w:p>
    <w:p w14:paraId="31EB3349" w14:textId="1B57D201" w:rsidR="00166F77" w:rsidRDefault="00166F77" w:rsidP="00A56CC3">
      <w:pPr>
        <w:pStyle w:val="Abstract"/>
        <w:tabs>
          <w:tab w:val="center" w:pos="4986"/>
        </w:tabs>
        <w:spacing w:after="120"/>
        <w:ind w:left="0"/>
        <w:rPr>
          <w:rFonts w:ascii="Calibri" w:hAnsi="Calibri" w:cs="Calibri"/>
          <w:i/>
          <w:iCs/>
          <w:sz w:val="24"/>
          <w:szCs w:val="24"/>
        </w:rPr>
      </w:pPr>
      <w:r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Pr="005B6A62">
        <w:rPr>
          <w:rFonts w:ascii="Calibri" w:hAnsi="Calibri" w:cs="Calibri"/>
          <w:sz w:val="24"/>
          <w:szCs w:val="24"/>
        </w:rPr>
        <w:t xml:space="preserve">: </w:t>
      </w:r>
      <w:r w:rsidR="00A61B2C">
        <w:rPr>
          <w:rFonts w:ascii="Calibri" w:hAnsi="Calibri" w:cs="Calibri"/>
          <w:i/>
          <w:iCs/>
          <w:sz w:val="24"/>
          <w:szCs w:val="24"/>
        </w:rPr>
        <w:t>CO</w:t>
      </w:r>
      <w:r w:rsidR="00A61B2C" w:rsidRPr="00A61B2C">
        <w:rPr>
          <w:rFonts w:ascii="Calibri" w:hAnsi="Calibri" w:cs="Calibri"/>
          <w:i/>
          <w:iCs/>
          <w:sz w:val="24"/>
          <w:szCs w:val="24"/>
          <w:vertAlign w:val="subscript"/>
        </w:rPr>
        <w:t>2</w:t>
      </w:r>
      <w:r w:rsidR="00A61B2C">
        <w:rPr>
          <w:rFonts w:ascii="Calibri" w:hAnsi="Calibri" w:cs="Calibri"/>
          <w:i/>
          <w:iCs/>
          <w:sz w:val="24"/>
          <w:szCs w:val="24"/>
        </w:rPr>
        <w:t xml:space="preserve"> capture and utilization</w:t>
      </w:r>
      <w:r w:rsidRPr="005B6A62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A61B2C">
        <w:rPr>
          <w:rFonts w:ascii="Calibri" w:hAnsi="Calibri" w:cs="Calibri"/>
          <w:i/>
          <w:iCs/>
          <w:sz w:val="24"/>
          <w:szCs w:val="24"/>
        </w:rPr>
        <w:t>carbonic anhydrase</w:t>
      </w:r>
      <w:r w:rsidRPr="005B6A62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A61B2C">
        <w:rPr>
          <w:rFonts w:ascii="Calibri" w:hAnsi="Calibri" w:cs="Calibri"/>
          <w:i/>
          <w:iCs/>
          <w:sz w:val="24"/>
          <w:szCs w:val="24"/>
        </w:rPr>
        <w:t>heterogeneous biocatalysis</w:t>
      </w:r>
      <w:r w:rsidRPr="005B6A62">
        <w:rPr>
          <w:rFonts w:ascii="Calibri" w:hAnsi="Calibri" w:cs="Calibri"/>
          <w:i/>
          <w:iCs/>
          <w:sz w:val="24"/>
          <w:szCs w:val="24"/>
        </w:rPr>
        <w:tab/>
      </w:r>
    </w:p>
    <w:p w14:paraId="2804ECDC" w14:textId="06DF60D3" w:rsidR="0077184E" w:rsidRPr="00D27787" w:rsidRDefault="0077184E" w:rsidP="00D2778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Russo, M. E., Capasso, C., </w:t>
      </w:r>
      <w:proofErr w:type="spellStart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Marzocchella</w:t>
      </w:r>
      <w:proofErr w:type="spellEnd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, A., Salatino, P. </w:t>
      </w:r>
      <w:r w:rsid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(</w:t>
      </w:r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2022</w:t>
      </w:r>
      <w:r w:rsid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)</w:t>
      </w:r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. </w:t>
      </w:r>
      <w:proofErr w:type="spellStart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Appl</w:t>
      </w:r>
      <w:proofErr w:type="spellEnd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</w:t>
      </w:r>
      <w:proofErr w:type="spellStart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Microbiol</w:t>
      </w:r>
      <w:proofErr w:type="spellEnd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</w:t>
      </w:r>
      <w:proofErr w:type="spellStart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Biotechnol</w:t>
      </w:r>
      <w:proofErr w:type="spellEnd"/>
      <w:r w:rsidRPr="00D27787">
        <w:rPr>
          <w:rFonts w:ascii="Calibri" w:eastAsia="Calibri" w:hAnsi="Calibri" w:cs="Calibri"/>
          <w:bCs/>
          <w:color w:val="000000"/>
          <w:kern w:val="0"/>
          <w14:ligatures w14:val="none"/>
        </w:rPr>
        <w:t>, 0123456789.</w:t>
      </w:r>
    </w:p>
    <w:p w14:paraId="39D014DF" w14:textId="665EC1ED" w:rsidR="00C81FF0" w:rsidRPr="00EC6A01" w:rsidRDefault="0077184E" w:rsidP="00D2778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Marra, L., Russo, M. E., </w:t>
      </w:r>
      <w:proofErr w:type="spellStart"/>
      <w:r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>Knuutila</w:t>
      </w:r>
      <w:proofErr w:type="spellEnd"/>
      <w:r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, H. K., </w:t>
      </w:r>
      <w:proofErr w:type="spellStart"/>
      <w:r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>Marzocchella</w:t>
      </w:r>
      <w:proofErr w:type="spellEnd"/>
      <w:r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>, A.,</w:t>
      </w:r>
      <w:r w:rsidR="000C7A8A"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</w:t>
      </w:r>
      <w:r w:rsidRPr="000C7A8A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Salatino, P. (2024). </w:t>
      </w:r>
      <w:proofErr w:type="spellStart"/>
      <w:r w:rsidRPr="00EC6A01">
        <w:rPr>
          <w:rFonts w:ascii="Calibri" w:eastAsia="Calibri" w:hAnsi="Calibri" w:cs="Calibri"/>
          <w:bCs/>
          <w:color w:val="000000"/>
          <w:kern w:val="0"/>
          <w14:ligatures w14:val="none"/>
        </w:rPr>
        <w:t>Chem</w:t>
      </w:r>
      <w:proofErr w:type="spellEnd"/>
      <w:r w:rsidRPr="00EC6A01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Eng Sc, 285, 119618.</w:t>
      </w:r>
    </w:p>
    <w:sectPr w:rsidR="00C81FF0" w:rsidRPr="00EC6A01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D497" w14:textId="77777777" w:rsidR="00C705A9" w:rsidRDefault="00C705A9" w:rsidP="0072716A">
      <w:pPr>
        <w:spacing w:after="0" w:line="240" w:lineRule="auto"/>
      </w:pPr>
      <w:r>
        <w:separator/>
      </w:r>
    </w:p>
  </w:endnote>
  <w:endnote w:type="continuationSeparator" w:id="0">
    <w:p w14:paraId="331BF684" w14:textId="77777777" w:rsidR="00C705A9" w:rsidRDefault="00C705A9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724A" w14:textId="77777777" w:rsidR="00C705A9" w:rsidRDefault="00C705A9" w:rsidP="0072716A">
      <w:pPr>
        <w:spacing w:after="0" w:line="240" w:lineRule="auto"/>
      </w:pPr>
      <w:r>
        <w:separator/>
      </w:r>
    </w:p>
  </w:footnote>
  <w:footnote w:type="continuationSeparator" w:id="0">
    <w:p w14:paraId="4FE74B6B" w14:textId="77777777" w:rsidR="00C705A9" w:rsidRDefault="00C705A9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>, Italy</w:t>
          </w:r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4DFE"/>
    <w:multiLevelType w:val="hybridMultilevel"/>
    <w:tmpl w:val="D6E6D5AA"/>
    <w:lvl w:ilvl="0" w:tplc="5FBC23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  <w:num w:numId="5" w16cid:durableId="1267273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24FD0"/>
    <w:rsid w:val="00040787"/>
    <w:rsid w:val="00044559"/>
    <w:rsid w:val="00050B46"/>
    <w:rsid w:val="00055E4E"/>
    <w:rsid w:val="000807B2"/>
    <w:rsid w:val="00087BDF"/>
    <w:rsid w:val="000A7F56"/>
    <w:rsid w:val="000B0811"/>
    <w:rsid w:val="000C7A8A"/>
    <w:rsid w:val="001064EC"/>
    <w:rsid w:val="00150AB6"/>
    <w:rsid w:val="00166F77"/>
    <w:rsid w:val="001A5A63"/>
    <w:rsid w:val="001B3E11"/>
    <w:rsid w:val="001C3CAD"/>
    <w:rsid w:val="001C66EA"/>
    <w:rsid w:val="001D5A3E"/>
    <w:rsid w:val="001E449D"/>
    <w:rsid w:val="001F58B3"/>
    <w:rsid w:val="00200557"/>
    <w:rsid w:val="002213E7"/>
    <w:rsid w:val="002248ED"/>
    <w:rsid w:val="00231201"/>
    <w:rsid w:val="00232B98"/>
    <w:rsid w:val="002364A0"/>
    <w:rsid w:val="00240F69"/>
    <w:rsid w:val="00256791"/>
    <w:rsid w:val="002732F6"/>
    <w:rsid w:val="00284C43"/>
    <w:rsid w:val="00286251"/>
    <w:rsid w:val="00292EC3"/>
    <w:rsid w:val="002A531D"/>
    <w:rsid w:val="002A61C3"/>
    <w:rsid w:val="002B2884"/>
    <w:rsid w:val="002D2FDA"/>
    <w:rsid w:val="002E0301"/>
    <w:rsid w:val="002E20A7"/>
    <w:rsid w:val="002F49CB"/>
    <w:rsid w:val="0031081F"/>
    <w:rsid w:val="00312319"/>
    <w:rsid w:val="00323D8A"/>
    <w:rsid w:val="003301D2"/>
    <w:rsid w:val="003337EA"/>
    <w:rsid w:val="00335755"/>
    <w:rsid w:val="00336629"/>
    <w:rsid w:val="003409EA"/>
    <w:rsid w:val="0034457D"/>
    <w:rsid w:val="00353CED"/>
    <w:rsid w:val="0035783C"/>
    <w:rsid w:val="00357F0D"/>
    <w:rsid w:val="003623D0"/>
    <w:rsid w:val="00371A00"/>
    <w:rsid w:val="003733A0"/>
    <w:rsid w:val="00374E43"/>
    <w:rsid w:val="003911CB"/>
    <w:rsid w:val="0039134A"/>
    <w:rsid w:val="00395222"/>
    <w:rsid w:val="003B1F50"/>
    <w:rsid w:val="003C09E0"/>
    <w:rsid w:val="003D304C"/>
    <w:rsid w:val="003D4992"/>
    <w:rsid w:val="003E0C3D"/>
    <w:rsid w:val="00412B82"/>
    <w:rsid w:val="004211B1"/>
    <w:rsid w:val="004456B0"/>
    <w:rsid w:val="00471732"/>
    <w:rsid w:val="00474D63"/>
    <w:rsid w:val="00481A10"/>
    <w:rsid w:val="004909A6"/>
    <w:rsid w:val="00494403"/>
    <w:rsid w:val="004964F3"/>
    <w:rsid w:val="004A07C3"/>
    <w:rsid w:val="004A0AFB"/>
    <w:rsid w:val="004A3BE7"/>
    <w:rsid w:val="004A5E5A"/>
    <w:rsid w:val="004B0E3D"/>
    <w:rsid w:val="004D20B4"/>
    <w:rsid w:val="004E46D9"/>
    <w:rsid w:val="004E4C7F"/>
    <w:rsid w:val="004F70DE"/>
    <w:rsid w:val="00505969"/>
    <w:rsid w:val="00510DBF"/>
    <w:rsid w:val="005118E4"/>
    <w:rsid w:val="0052470B"/>
    <w:rsid w:val="00545ECB"/>
    <w:rsid w:val="0054708F"/>
    <w:rsid w:val="00552380"/>
    <w:rsid w:val="00554D59"/>
    <w:rsid w:val="00560E7F"/>
    <w:rsid w:val="00574E8F"/>
    <w:rsid w:val="005B00F2"/>
    <w:rsid w:val="005B27E7"/>
    <w:rsid w:val="005B6A62"/>
    <w:rsid w:val="00600984"/>
    <w:rsid w:val="006009FC"/>
    <w:rsid w:val="00602331"/>
    <w:rsid w:val="00602D67"/>
    <w:rsid w:val="006254B9"/>
    <w:rsid w:val="006336D6"/>
    <w:rsid w:val="00651FC1"/>
    <w:rsid w:val="00676F01"/>
    <w:rsid w:val="00684736"/>
    <w:rsid w:val="00690295"/>
    <w:rsid w:val="00690E85"/>
    <w:rsid w:val="006930B6"/>
    <w:rsid w:val="006A7914"/>
    <w:rsid w:val="006B116A"/>
    <w:rsid w:val="006B5C33"/>
    <w:rsid w:val="007066B2"/>
    <w:rsid w:val="00711329"/>
    <w:rsid w:val="00711972"/>
    <w:rsid w:val="00712867"/>
    <w:rsid w:val="00712A6F"/>
    <w:rsid w:val="0072716A"/>
    <w:rsid w:val="0073278C"/>
    <w:rsid w:val="0074052D"/>
    <w:rsid w:val="00741A95"/>
    <w:rsid w:val="00753A5E"/>
    <w:rsid w:val="00766E94"/>
    <w:rsid w:val="0077184E"/>
    <w:rsid w:val="007765ED"/>
    <w:rsid w:val="00777764"/>
    <w:rsid w:val="00785D84"/>
    <w:rsid w:val="00786292"/>
    <w:rsid w:val="007873CD"/>
    <w:rsid w:val="00793F4C"/>
    <w:rsid w:val="007A7D87"/>
    <w:rsid w:val="007B27EA"/>
    <w:rsid w:val="007B3FF0"/>
    <w:rsid w:val="007C345E"/>
    <w:rsid w:val="007C3B07"/>
    <w:rsid w:val="007C45F2"/>
    <w:rsid w:val="007C6CAF"/>
    <w:rsid w:val="007E1801"/>
    <w:rsid w:val="007F7A38"/>
    <w:rsid w:val="00807CCD"/>
    <w:rsid w:val="00821E2D"/>
    <w:rsid w:val="00830A74"/>
    <w:rsid w:val="00830B70"/>
    <w:rsid w:val="00831A4D"/>
    <w:rsid w:val="00836789"/>
    <w:rsid w:val="00845F20"/>
    <w:rsid w:val="00872AE1"/>
    <w:rsid w:val="00874E52"/>
    <w:rsid w:val="008A346F"/>
    <w:rsid w:val="008A3E06"/>
    <w:rsid w:val="008C4C5F"/>
    <w:rsid w:val="008C62F5"/>
    <w:rsid w:val="008D0D75"/>
    <w:rsid w:val="008D45DE"/>
    <w:rsid w:val="008E2023"/>
    <w:rsid w:val="008E6878"/>
    <w:rsid w:val="008F318A"/>
    <w:rsid w:val="008F462F"/>
    <w:rsid w:val="008F628F"/>
    <w:rsid w:val="00900C58"/>
    <w:rsid w:val="00901DE6"/>
    <w:rsid w:val="0090681B"/>
    <w:rsid w:val="00906DA6"/>
    <w:rsid w:val="009110AF"/>
    <w:rsid w:val="00913F97"/>
    <w:rsid w:val="00920F68"/>
    <w:rsid w:val="00927214"/>
    <w:rsid w:val="00931353"/>
    <w:rsid w:val="00964078"/>
    <w:rsid w:val="00985F4E"/>
    <w:rsid w:val="0099583C"/>
    <w:rsid w:val="00996111"/>
    <w:rsid w:val="00996C77"/>
    <w:rsid w:val="009A06BE"/>
    <w:rsid w:val="009A37D2"/>
    <w:rsid w:val="009B6927"/>
    <w:rsid w:val="00A17800"/>
    <w:rsid w:val="00A32456"/>
    <w:rsid w:val="00A56889"/>
    <w:rsid w:val="00A56C44"/>
    <w:rsid w:val="00A56CC3"/>
    <w:rsid w:val="00A61B2C"/>
    <w:rsid w:val="00A75D50"/>
    <w:rsid w:val="00A76AA9"/>
    <w:rsid w:val="00A80026"/>
    <w:rsid w:val="00A92FB5"/>
    <w:rsid w:val="00AA4374"/>
    <w:rsid w:val="00AA5969"/>
    <w:rsid w:val="00AA7032"/>
    <w:rsid w:val="00AB21B4"/>
    <w:rsid w:val="00AB4DBD"/>
    <w:rsid w:val="00AC3650"/>
    <w:rsid w:val="00AD2E33"/>
    <w:rsid w:val="00AD3AAC"/>
    <w:rsid w:val="00AD4C0C"/>
    <w:rsid w:val="00B029D3"/>
    <w:rsid w:val="00B20865"/>
    <w:rsid w:val="00B34985"/>
    <w:rsid w:val="00B5661E"/>
    <w:rsid w:val="00B834F0"/>
    <w:rsid w:val="00B902E3"/>
    <w:rsid w:val="00B9386D"/>
    <w:rsid w:val="00B97BAA"/>
    <w:rsid w:val="00BA036A"/>
    <w:rsid w:val="00BB12A2"/>
    <w:rsid w:val="00BB73A1"/>
    <w:rsid w:val="00BD198C"/>
    <w:rsid w:val="00BD22C0"/>
    <w:rsid w:val="00BE4DA0"/>
    <w:rsid w:val="00BF1C37"/>
    <w:rsid w:val="00C054BC"/>
    <w:rsid w:val="00C05A9A"/>
    <w:rsid w:val="00C06A92"/>
    <w:rsid w:val="00C102A3"/>
    <w:rsid w:val="00C1161B"/>
    <w:rsid w:val="00C23475"/>
    <w:rsid w:val="00C240B5"/>
    <w:rsid w:val="00C333B1"/>
    <w:rsid w:val="00C57F60"/>
    <w:rsid w:val="00C641EC"/>
    <w:rsid w:val="00C705A9"/>
    <w:rsid w:val="00C76A00"/>
    <w:rsid w:val="00C81FF0"/>
    <w:rsid w:val="00C85E06"/>
    <w:rsid w:val="00C9288D"/>
    <w:rsid w:val="00CA75DB"/>
    <w:rsid w:val="00CA7C85"/>
    <w:rsid w:val="00CB7B13"/>
    <w:rsid w:val="00CC110C"/>
    <w:rsid w:val="00CC1615"/>
    <w:rsid w:val="00CD25EE"/>
    <w:rsid w:val="00CD643D"/>
    <w:rsid w:val="00CE0DF3"/>
    <w:rsid w:val="00CE4D54"/>
    <w:rsid w:val="00CF7B78"/>
    <w:rsid w:val="00D11931"/>
    <w:rsid w:val="00D1632A"/>
    <w:rsid w:val="00D2047B"/>
    <w:rsid w:val="00D22FAD"/>
    <w:rsid w:val="00D27787"/>
    <w:rsid w:val="00D371DD"/>
    <w:rsid w:val="00D5399E"/>
    <w:rsid w:val="00D5442B"/>
    <w:rsid w:val="00D746DE"/>
    <w:rsid w:val="00D85ABE"/>
    <w:rsid w:val="00D921E3"/>
    <w:rsid w:val="00DC1B01"/>
    <w:rsid w:val="00DC239B"/>
    <w:rsid w:val="00DC2ACB"/>
    <w:rsid w:val="00DD4744"/>
    <w:rsid w:val="00DF1D5F"/>
    <w:rsid w:val="00E15C72"/>
    <w:rsid w:val="00E24F23"/>
    <w:rsid w:val="00E31C2F"/>
    <w:rsid w:val="00E322C2"/>
    <w:rsid w:val="00E42586"/>
    <w:rsid w:val="00E623B5"/>
    <w:rsid w:val="00E9327B"/>
    <w:rsid w:val="00E93921"/>
    <w:rsid w:val="00EB0C7F"/>
    <w:rsid w:val="00EB0DB4"/>
    <w:rsid w:val="00EB1B0A"/>
    <w:rsid w:val="00EB42AB"/>
    <w:rsid w:val="00EC013D"/>
    <w:rsid w:val="00EC2D8D"/>
    <w:rsid w:val="00EC4C57"/>
    <w:rsid w:val="00EC62BB"/>
    <w:rsid w:val="00EC6A01"/>
    <w:rsid w:val="00EC7787"/>
    <w:rsid w:val="00ED6E47"/>
    <w:rsid w:val="00EF7ABB"/>
    <w:rsid w:val="00F02050"/>
    <w:rsid w:val="00F319C7"/>
    <w:rsid w:val="00F36908"/>
    <w:rsid w:val="00F36FF7"/>
    <w:rsid w:val="00F42F3F"/>
    <w:rsid w:val="00F61BC7"/>
    <w:rsid w:val="00F63033"/>
    <w:rsid w:val="00F65832"/>
    <w:rsid w:val="00F910A0"/>
    <w:rsid w:val="00FA4B1F"/>
    <w:rsid w:val="00FA76C2"/>
    <w:rsid w:val="00FB38DD"/>
    <w:rsid w:val="00FC3A0E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7718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usso@un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2904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Lucia Melchiorre</cp:lastModifiedBy>
  <cp:revision>2</cp:revision>
  <cp:lastPrinted>2020-12-16T11:42:00Z</cp:lastPrinted>
  <dcterms:created xsi:type="dcterms:W3CDTF">2025-07-16T07:34:00Z</dcterms:created>
  <dcterms:modified xsi:type="dcterms:W3CDTF">2025-07-16T07:34:00Z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