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4C89" w14:textId="4D28E324" w:rsidR="00166F77" w:rsidRPr="0043650B" w:rsidRDefault="00564C37" w:rsidP="00166F77">
      <w:pPr>
        <w:autoSpaceDE w:val="0"/>
        <w:autoSpaceDN w:val="0"/>
        <w:adjustRightInd w:val="0"/>
        <w:spacing w:before="240" w:after="240" w:line="240" w:lineRule="auto"/>
        <w:jc w:val="center"/>
        <w:rPr>
          <w:rFonts w:cs="Calibri"/>
          <w:b/>
          <w:bCs/>
          <w:color w:val="000000"/>
          <w:sz w:val="28"/>
          <w:szCs w:val="28"/>
          <w:lang w:val="en-GB"/>
        </w:rPr>
      </w:pPr>
      <w:r w:rsidRPr="0043650B">
        <w:rPr>
          <w:rFonts w:cs="Calibri"/>
          <w:b/>
          <w:bCs/>
          <w:color w:val="000000"/>
          <w:sz w:val="28"/>
          <w:szCs w:val="28"/>
          <w:lang w:val="en-GB"/>
        </w:rPr>
        <w:t xml:space="preserve">Techno-economic analysis of </w:t>
      </w:r>
      <w:r w:rsidR="001E699F" w:rsidRPr="0043650B">
        <w:rPr>
          <w:rFonts w:cs="Calibri"/>
          <w:b/>
          <w:bCs/>
          <w:color w:val="000000"/>
          <w:sz w:val="28"/>
          <w:szCs w:val="28"/>
          <w:lang w:val="en-GB"/>
        </w:rPr>
        <w:t>direct biogas</w:t>
      </w:r>
      <w:r w:rsidRPr="0043650B">
        <w:rPr>
          <w:rFonts w:cs="Calibri"/>
          <w:b/>
          <w:bCs/>
          <w:color w:val="000000"/>
          <w:sz w:val="28"/>
          <w:szCs w:val="28"/>
          <w:lang w:val="en-GB"/>
        </w:rPr>
        <w:t xml:space="preserve"> methanation: assessment of Minimum Selling Price under different process configurations and depreciation schemes</w:t>
      </w:r>
    </w:p>
    <w:p w14:paraId="3698B90F" w14:textId="338DE671" w:rsidR="00C23B95" w:rsidRPr="00564C37" w:rsidRDefault="00C23B95" w:rsidP="00166F77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color w:val="000000"/>
          <w:sz w:val="24"/>
          <w:szCs w:val="24"/>
        </w:rPr>
      </w:pPr>
      <w:r w:rsidRPr="00C23B95">
        <w:rPr>
          <w:rFonts w:cs="Calibri"/>
          <w:color w:val="000000"/>
          <w:sz w:val="24"/>
          <w:szCs w:val="24"/>
        </w:rPr>
        <w:t>Matteo Tommasi</w:t>
      </w:r>
      <w:r w:rsidR="00564C37">
        <w:rPr>
          <w:rFonts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="00564C37" w:rsidRPr="00564C37">
        <w:rPr>
          <w:rFonts w:cs="Calibri"/>
          <w:i/>
          <w:color w:val="000000"/>
          <w:sz w:val="24"/>
          <w:szCs w:val="24"/>
          <w:vertAlign w:val="superscript"/>
        </w:rPr>
        <w:t>a,b</w:t>
      </w:r>
      <w:proofErr w:type="spellEnd"/>
      <w:proofErr w:type="gramEnd"/>
      <w:r w:rsidRPr="00C23B95">
        <w:rPr>
          <w:rFonts w:cs="Calibri"/>
          <w:color w:val="000000"/>
          <w:sz w:val="24"/>
          <w:szCs w:val="24"/>
        </w:rPr>
        <w:t>, Alberto Feltrin</w:t>
      </w:r>
      <w:r w:rsidR="00564C37">
        <w:rPr>
          <w:rFonts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="00564C37" w:rsidRPr="00564C37">
        <w:rPr>
          <w:rFonts w:cs="Calibri"/>
          <w:i/>
          <w:color w:val="000000"/>
          <w:sz w:val="24"/>
          <w:szCs w:val="24"/>
          <w:vertAlign w:val="superscript"/>
        </w:rPr>
        <w:t>a,b</w:t>
      </w:r>
      <w:proofErr w:type="spellEnd"/>
      <w:proofErr w:type="gramEnd"/>
      <w:r w:rsidRPr="00C23B95">
        <w:rPr>
          <w:rFonts w:cs="Calibri"/>
          <w:color w:val="000000"/>
          <w:sz w:val="24"/>
          <w:szCs w:val="24"/>
        </w:rPr>
        <w:t>, Alice Gramegna</w:t>
      </w:r>
      <w:r w:rsidR="00564C37">
        <w:rPr>
          <w:rFonts w:cs="Calibri"/>
          <w:color w:val="000000"/>
          <w:sz w:val="24"/>
          <w:szCs w:val="24"/>
        </w:rPr>
        <w:t xml:space="preserve"> </w:t>
      </w:r>
      <w:r w:rsidR="00564C37" w:rsidRPr="00564C37">
        <w:rPr>
          <w:rFonts w:cs="Calibri"/>
          <w:i/>
          <w:color w:val="000000"/>
          <w:sz w:val="24"/>
          <w:szCs w:val="24"/>
          <w:vertAlign w:val="superscript"/>
        </w:rPr>
        <w:t>a</w:t>
      </w:r>
      <w:r w:rsidRPr="00C23B95">
        <w:rPr>
          <w:rFonts w:cs="Calibri"/>
          <w:color w:val="000000"/>
          <w:sz w:val="24"/>
          <w:szCs w:val="24"/>
        </w:rPr>
        <w:t>,</w:t>
      </w:r>
      <w:r w:rsidR="00B02E84" w:rsidRPr="00B02E84">
        <w:rPr>
          <w:rFonts w:cs="Calibri"/>
          <w:color w:val="000000"/>
          <w:sz w:val="24"/>
          <w:szCs w:val="24"/>
        </w:rPr>
        <w:t xml:space="preserve"> </w:t>
      </w:r>
      <w:r w:rsidR="00B02E84">
        <w:rPr>
          <w:rFonts w:cs="Calibri"/>
          <w:color w:val="000000"/>
          <w:sz w:val="24"/>
          <w:szCs w:val="24"/>
        </w:rPr>
        <w:t>F</w:t>
      </w:r>
      <w:r w:rsidR="00B02E84" w:rsidRPr="00C23B95">
        <w:rPr>
          <w:rFonts w:cs="Calibri"/>
          <w:color w:val="000000"/>
          <w:sz w:val="24"/>
          <w:szCs w:val="24"/>
        </w:rPr>
        <w:t>ederico Galli</w:t>
      </w:r>
      <w:r w:rsidR="00B02E84" w:rsidRPr="00564C37">
        <w:rPr>
          <w:rFonts w:cs="Calibri"/>
          <w:i/>
          <w:color w:val="000000"/>
          <w:sz w:val="24"/>
          <w:szCs w:val="24"/>
          <w:vertAlign w:val="superscript"/>
        </w:rPr>
        <w:t xml:space="preserve"> b</w:t>
      </w:r>
      <w:r w:rsidRPr="00C23B95">
        <w:rPr>
          <w:rFonts w:cs="Calibri"/>
          <w:color w:val="000000"/>
          <w:sz w:val="24"/>
          <w:szCs w:val="24"/>
        </w:rPr>
        <w:t xml:space="preserve"> </w:t>
      </w:r>
      <w:r w:rsidR="00B02E84">
        <w:rPr>
          <w:rFonts w:cs="Calibri"/>
          <w:color w:val="000000"/>
          <w:sz w:val="24"/>
          <w:szCs w:val="24"/>
        </w:rPr>
        <w:t xml:space="preserve">&amp; </w:t>
      </w:r>
      <w:r w:rsidRPr="00C23B95">
        <w:rPr>
          <w:rFonts w:cs="Calibri"/>
          <w:color w:val="000000"/>
          <w:sz w:val="24"/>
          <w:szCs w:val="24"/>
        </w:rPr>
        <w:t>Ilenia Rossetti</w:t>
      </w:r>
      <w:r w:rsidR="00564C37" w:rsidRPr="00564C37">
        <w:rPr>
          <w:rFonts w:cs="Calibri"/>
          <w:i/>
          <w:color w:val="000000"/>
          <w:sz w:val="24"/>
          <w:szCs w:val="24"/>
          <w:vertAlign w:val="superscript"/>
        </w:rPr>
        <w:t xml:space="preserve"> a</w:t>
      </w:r>
    </w:p>
    <w:p w14:paraId="75EF23EA" w14:textId="18408704" w:rsidR="00166F77" w:rsidRPr="00564C37" w:rsidRDefault="00166F77" w:rsidP="00564C37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color w:val="000000"/>
          <w:szCs w:val="24"/>
          <w:lang w:val="en-GB"/>
        </w:rPr>
      </w:pPr>
      <w:r w:rsidRPr="005B6A62">
        <w:rPr>
          <w:rFonts w:cs="Calibri"/>
          <w:i/>
          <w:color w:val="000000"/>
          <w:szCs w:val="24"/>
          <w:vertAlign w:val="superscript"/>
          <w:lang w:val="en-GB"/>
        </w:rPr>
        <w:t>a</w:t>
      </w:r>
      <w:r w:rsidRPr="005B6A62">
        <w:rPr>
          <w:rFonts w:cs="Calibri"/>
          <w:color w:val="000000"/>
          <w:szCs w:val="24"/>
          <w:lang w:val="en-GB"/>
        </w:rPr>
        <w:t xml:space="preserve"> </w:t>
      </w:r>
      <w:r w:rsidR="00564C37" w:rsidRPr="00564C37">
        <w:rPr>
          <w:rFonts w:cs="Calibri"/>
          <w:color w:val="000000"/>
          <w:szCs w:val="24"/>
          <w:lang w:val="en-GB"/>
        </w:rPr>
        <w:t>Chemical Plants and Industrial Chemistry Group, Dip. Chimica, Universit</w:t>
      </w:r>
      <w:r w:rsidR="00564C37">
        <w:rPr>
          <w:rFonts w:cs="Calibri"/>
          <w:color w:val="000000"/>
          <w:szCs w:val="24"/>
          <w:lang w:val="en-GB"/>
        </w:rPr>
        <w:t>à</w:t>
      </w:r>
      <w:r w:rsidR="00564C37" w:rsidRPr="00564C37">
        <w:rPr>
          <w:rFonts w:cs="Calibri"/>
          <w:color w:val="000000"/>
          <w:szCs w:val="24"/>
          <w:lang w:val="en-GB"/>
        </w:rPr>
        <w:t xml:space="preserve"> </w:t>
      </w:r>
      <w:proofErr w:type="spellStart"/>
      <w:r w:rsidR="00564C37" w:rsidRPr="00564C37">
        <w:rPr>
          <w:rFonts w:cs="Calibri"/>
          <w:color w:val="000000"/>
          <w:szCs w:val="24"/>
          <w:lang w:val="en-GB"/>
        </w:rPr>
        <w:t>degli</w:t>
      </w:r>
      <w:proofErr w:type="spellEnd"/>
      <w:r w:rsidR="00564C37" w:rsidRPr="00564C37">
        <w:rPr>
          <w:rFonts w:cs="Calibri"/>
          <w:color w:val="000000"/>
          <w:szCs w:val="24"/>
          <w:lang w:val="en-GB"/>
        </w:rPr>
        <w:t xml:space="preserve"> Studi di Milano and CNR-SCITEC, Via C. Golgi 19, 20133, Milan, Italy </w:t>
      </w:r>
      <w:r w:rsidR="00564C37" w:rsidRPr="00564C37">
        <w:rPr>
          <w:rFonts w:cs="Calibri"/>
          <w:color w:val="000000"/>
          <w:szCs w:val="24"/>
          <w:lang w:val="en-GB"/>
        </w:rPr>
        <w:br/>
      </w:r>
      <w:r w:rsidRPr="00564C37">
        <w:rPr>
          <w:rFonts w:cs="Calibri"/>
          <w:i/>
          <w:color w:val="000000"/>
          <w:szCs w:val="24"/>
          <w:vertAlign w:val="superscript"/>
          <w:lang w:val="en-GB"/>
        </w:rPr>
        <w:t>b</w:t>
      </w:r>
      <w:r w:rsidRPr="00564C37">
        <w:rPr>
          <w:rFonts w:cs="Calibri"/>
          <w:color w:val="000000"/>
          <w:szCs w:val="24"/>
          <w:lang w:val="en-GB"/>
        </w:rPr>
        <w:t xml:space="preserve"> </w:t>
      </w:r>
      <w:r w:rsidR="0057259C" w:rsidRPr="00564C37">
        <w:rPr>
          <w:rFonts w:cs="Calibri"/>
          <w:color w:val="000000"/>
          <w:szCs w:val="24"/>
          <w:lang w:val="en-GB"/>
        </w:rPr>
        <w:t>Université de Sherbrooke</w:t>
      </w:r>
      <w:r w:rsidR="00564C37" w:rsidRPr="00564C37">
        <w:rPr>
          <w:rFonts w:cs="Calibri"/>
          <w:color w:val="000000"/>
          <w:szCs w:val="24"/>
          <w:lang w:val="en-GB"/>
        </w:rPr>
        <w:t xml:space="preserve">, Département de génie </w:t>
      </w:r>
      <w:proofErr w:type="spellStart"/>
      <w:r w:rsidR="00564C37" w:rsidRPr="00564C37">
        <w:rPr>
          <w:rFonts w:cs="Calibri"/>
          <w:color w:val="000000"/>
          <w:szCs w:val="24"/>
          <w:lang w:val="en-GB"/>
        </w:rPr>
        <w:t>chimique</w:t>
      </w:r>
      <w:proofErr w:type="spellEnd"/>
      <w:r w:rsidR="00564C37" w:rsidRPr="00564C37">
        <w:rPr>
          <w:rFonts w:cs="Calibri"/>
          <w:color w:val="000000"/>
          <w:szCs w:val="24"/>
          <w:lang w:val="en-GB"/>
        </w:rPr>
        <w:t xml:space="preserve"> et de génie </w:t>
      </w:r>
      <w:proofErr w:type="spellStart"/>
      <w:r w:rsidR="00564C37" w:rsidRPr="00564C37">
        <w:rPr>
          <w:rFonts w:cs="Calibri"/>
          <w:color w:val="000000"/>
          <w:szCs w:val="24"/>
          <w:lang w:val="en-GB"/>
        </w:rPr>
        <w:t>biotechnologique</w:t>
      </w:r>
      <w:proofErr w:type="spellEnd"/>
      <w:r w:rsidR="00564C37" w:rsidRPr="00564C37">
        <w:rPr>
          <w:rFonts w:cs="Calibri"/>
          <w:color w:val="000000"/>
          <w:szCs w:val="24"/>
          <w:lang w:val="en-GB"/>
        </w:rPr>
        <w:t xml:space="preserve">, 2500 boul. de </w:t>
      </w:r>
      <w:proofErr w:type="spellStart"/>
      <w:r w:rsidR="00564C37" w:rsidRPr="00564C37">
        <w:rPr>
          <w:rFonts w:cs="Calibri"/>
          <w:color w:val="000000"/>
          <w:szCs w:val="24"/>
          <w:lang w:val="en-GB"/>
        </w:rPr>
        <w:t>l’Université</w:t>
      </w:r>
      <w:proofErr w:type="spellEnd"/>
      <w:r w:rsidR="00564C37" w:rsidRPr="00564C37">
        <w:rPr>
          <w:rFonts w:cs="Calibri"/>
          <w:color w:val="000000"/>
          <w:szCs w:val="24"/>
          <w:lang w:val="en-GB"/>
        </w:rPr>
        <w:t>, Sherbrooke Québec, J1K 2R1, Canada</w:t>
      </w:r>
    </w:p>
    <w:p w14:paraId="7241BF84" w14:textId="590D6C26" w:rsidR="00166F77" w:rsidRPr="00564C37" w:rsidRDefault="00166F77" w:rsidP="00564C37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color w:val="000000"/>
          <w:szCs w:val="24"/>
        </w:rPr>
      </w:pPr>
      <w:r w:rsidRPr="00564C37">
        <w:rPr>
          <w:rFonts w:cs="Calibri"/>
          <w:color w:val="000000"/>
          <w:szCs w:val="24"/>
        </w:rPr>
        <w:t xml:space="preserve">E-mail: </w:t>
      </w:r>
      <w:hyperlink r:id="rId8" w:history="1">
        <w:r w:rsidR="00564C37" w:rsidRPr="003D36A3">
          <w:rPr>
            <w:rStyle w:val="Collegamentoipertestuale"/>
            <w:rFonts w:cs="Calibri"/>
            <w:szCs w:val="24"/>
          </w:rPr>
          <w:t>matteo.tommasi@unimi.it</w:t>
        </w:r>
      </w:hyperlink>
    </w:p>
    <w:p w14:paraId="5F5D205D" w14:textId="77777777" w:rsidR="00166F77" w:rsidRPr="00564C37" w:rsidRDefault="00166F77" w:rsidP="0043650B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bCs/>
          <w:color w:val="000000"/>
          <w:sz w:val="24"/>
          <w:szCs w:val="24"/>
        </w:rPr>
      </w:pPr>
    </w:p>
    <w:p w14:paraId="5C9FB942" w14:textId="6EAEBD9A" w:rsidR="00A51F23" w:rsidRPr="00A51F23" w:rsidRDefault="001E699F" w:rsidP="0043650B">
      <w:pPr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cs="Calibri"/>
          <w:bCs/>
          <w:color w:val="000000"/>
          <w:sz w:val="24"/>
          <w:szCs w:val="24"/>
          <w:lang w:val="en-US"/>
        </w:rPr>
      </w:pPr>
      <w:r>
        <w:rPr>
          <w:rFonts w:cs="Calibri"/>
          <w:bCs/>
          <w:color w:val="000000"/>
          <w:sz w:val="24"/>
          <w:szCs w:val="24"/>
          <w:lang w:val="en-US"/>
        </w:rPr>
        <w:t>In the last decade, t</w:t>
      </w:r>
      <w:r w:rsidR="00564C37" w:rsidRPr="00564C37">
        <w:rPr>
          <w:rFonts w:cs="Calibri"/>
          <w:bCs/>
          <w:color w:val="000000"/>
          <w:sz w:val="24"/>
          <w:szCs w:val="24"/>
          <w:lang w:val="en-US"/>
        </w:rPr>
        <w:t>he</w:t>
      </w:r>
      <w:r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r w:rsidR="00564C37" w:rsidRPr="00564C37">
        <w:rPr>
          <w:rFonts w:cs="Calibri"/>
          <w:bCs/>
          <w:color w:val="000000"/>
          <w:sz w:val="24"/>
          <w:szCs w:val="24"/>
          <w:lang w:val="en-US"/>
        </w:rPr>
        <w:t>transition to a low-carbon energy system has renewed interest in CO</w:t>
      </w:r>
      <w:r w:rsidRPr="00E429FE">
        <w:rPr>
          <w:rFonts w:cs="Calibri"/>
          <w:bCs/>
          <w:color w:val="000000"/>
          <w:sz w:val="24"/>
          <w:szCs w:val="24"/>
          <w:vertAlign w:val="subscript"/>
          <w:lang w:val="en-US"/>
        </w:rPr>
        <w:t>2</w:t>
      </w:r>
      <w:r w:rsidR="00564C37" w:rsidRPr="00564C37">
        <w:rPr>
          <w:rFonts w:cs="Calibri"/>
          <w:bCs/>
          <w:color w:val="000000"/>
          <w:sz w:val="24"/>
          <w:szCs w:val="24"/>
          <w:lang w:val="en-US"/>
        </w:rPr>
        <w:t xml:space="preserve"> methanation as a promising power-to-gas </w:t>
      </w:r>
      <w:r>
        <w:rPr>
          <w:rFonts w:cs="Calibri"/>
          <w:bCs/>
          <w:color w:val="000000"/>
          <w:sz w:val="24"/>
          <w:szCs w:val="24"/>
          <w:lang w:val="en-US"/>
        </w:rPr>
        <w:t>(</w:t>
      </w:r>
      <w:proofErr w:type="spellStart"/>
      <w:r>
        <w:rPr>
          <w:rFonts w:cs="Calibri"/>
          <w:bCs/>
          <w:color w:val="000000"/>
          <w:sz w:val="24"/>
          <w:szCs w:val="24"/>
          <w:lang w:val="en-US"/>
        </w:rPr>
        <w:t>PtG</w:t>
      </w:r>
      <w:proofErr w:type="spellEnd"/>
      <w:r>
        <w:rPr>
          <w:rFonts w:cs="Calibri"/>
          <w:bCs/>
          <w:color w:val="000000"/>
          <w:sz w:val="24"/>
          <w:szCs w:val="24"/>
          <w:lang w:val="en-US"/>
        </w:rPr>
        <w:t xml:space="preserve">) </w:t>
      </w:r>
      <w:r w:rsidR="00564C37" w:rsidRPr="00564C37">
        <w:rPr>
          <w:rFonts w:cs="Calibri"/>
          <w:bCs/>
          <w:color w:val="000000"/>
          <w:sz w:val="24"/>
          <w:szCs w:val="24"/>
          <w:lang w:val="en-US"/>
        </w:rPr>
        <w:t xml:space="preserve">route for synthetic methane production. </w:t>
      </w:r>
      <w:r w:rsidR="00A51F23" w:rsidRPr="00A51F23">
        <w:rPr>
          <w:rFonts w:cs="Calibri"/>
          <w:bCs/>
          <w:color w:val="000000"/>
          <w:sz w:val="24"/>
          <w:szCs w:val="24"/>
          <w:lang w:val="en-US"/>
        </w:rPr>
        <w:t xml:space="preserve">However, the main barrier to the widespread adoption of this technology remains its high </w:t>
      </w:r>
      <w:r w:rsidR="00A51F23">
        <w:rPr>
          <w:rFonts w:cs="Calibri"/>
          <w:bCs/>
          <w:color w:val="000000"/>
          <w:sz w:val="24"/>
          <w:szCs w:val="24"/>
          <w:lang w:val="en-US"/>
        </w:rPr>
        <w:t xml:space="preserve">OPEX </w:t>
      </w:r>
      <w:r w:rsidR="00A51F23" w:rsidRPr="00A51F23">
        <w:rPr>
          <w:rFonts w:cs="Calibri"/>
          <w:bCs/>
          <w:color w:val="000000"/>
          <w:sz w:val="24"/>
          <w:szCs w:val="24"/>
          <w:lang w:val="en-US"/>
        </w:rPr>
        <w:t>cost</w:t>
      </w:r>
      <w:r w:rsidR="00A51F23">
        <w:rPr>
          <w:rFonts w:cs="Calibri"/>
          <w:bCs/>
          <w:color w:val="000000"/>
          <w:sz w:val="24"/>
          <w:szCs w:val="24"/>
          <w:lang w:val="en-US"/>
        </w:rPr>
        <w:t xml:space="preserve">, </w:t>
      </w:r>
      <w:r w:rsidR="00A51F23" w:rsidRPr="00A51F23">
        <w:rPr>
          <w:rFonts w:cs="Calibri"/>
          <w:bCs/>
          <w:color w:val="000000"/>
          <w:sz w:val="24"/>
          <w:szCs w:val="24"/>
          <w:lang w:val="en-US"/>
        </w:rPr>
        <w:t xml:space="preserve">particularly </w:t>
      </w:r>
      <w:r w:rsidR="00A51F23">
        <w:rPr>
          <w:rFonts w:cs="Calibri"/>
          <w:bCs/>
          <w:color w:val="000000"/>
          <w:sz w:val="24"/>
          <w:szCs w:val="24"/>
          <w:lang w:val="en-US"/>
        </w:rPr>
        <w:t>the one related to</w:t>
      </w:r>
      <w:r w:rsidR="00A51F23" w:rsidRPr="00A51F23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r w:rsidR="00A51F23">
        <w:rPr>
          <w:rFonts w:cs="Calibri"/>
          <w:bCs/>
          <w:color w:val="000000"/>
          <w:sz w:val="24"/>
          <w:szCs w:val="24"/>
          <w:lang w:val="en-US"/>
        </w:rPr>
        <w:t xml:space="preserve">green </w:t>
      </w:r>
      <w:r w:rsidR="00A51F23" w:rsidRPr="00A51F23">
        <w:rPr>
          <w:rFonts w:cs="Calibri"/>
          <w:bCs/>
          <w:color w:val="000000"/>
          <w:sz w:val="24"/>
          <w:szCs w:val="24"/>
          <w:lang w:val="en-US"/>
        </w:rPr>
        <w:t>hydrogen</w:t>
      </w:r>
      <w:r w:rsidR="00A51F23">
        <w:rPr>
          <w:rFonts w:cs="Calibri"/>
          <w:bCs/>
          <w:color w:val="000000"/>
          <w:sz w:val="24"/>
          <w:szCs w:val="24"/>
          <w:lang w:val="en-US"/>
        </w:rPr>
        <w:t>.</w:t>
      </w:r>
      <w:r w:rsidR="00E429FE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r w:rsidR="00A51F23" w:rsidRPr="00A51F23">
        <w:rPr>
          <w:rFonts w:cs="Calibri"/>
          <w:bCs/>
          <w:color w:val="000000"/>
          <w:sz w:val="24"/>
          <w:szCs w:val="24"/>
          <w:lang w:val="en-US"/>
        </w:rPr>
        <w:t xml:space="preserve">At the same time, anaerobic digesters </w:t>
      </w:r>
      <w:r w:rsidR="006E1E15" w:rsidRPr="006E1E15">
        <w:rPr>
          <w:rFonts w:cs="Calibri"/>
          <w:bCs/>
          <w:color w:val="000000"/>
          <w:sz w:val="24"/>
          <w:szCs w:val="24"/>
          <w:lang w:val="en-US"/>
        </w:rPr>
        <w:t xml:space="preserve">are increasingly popular and produce biogas streams containing </w:t>
      </w:r>
      <w:r w:rsidR="00A51F23" w:rsidRPr="00A51F23">
        <w:rPr>
          <w:rFonts w:cs="Calibri"/>
          <w:bCs/>
          <w:color w:val="000000"/>
          <w:sz w:val="24"/>
          <w:szCs w:val="24"/>
          <w:lang w:val="en-US"/>
        </w:rPr>
        <w:t>a significant fraction of CO</w:t>
      </w:r>
      <w:r w:rsidR="00A51F23" w:rsidRPr="00A51F23">
        <w:rPr>
          <w:rFonts w:cs="Calibri"/>
          <w:bCs/>
          <w:color w:val="000000"/>
          <w:sz w:val="24"/>
          <w:szCs w:val="24"/>
          <w:vertAlign w:val="subscript"/>
          <w:lang w:val="en-US"/>
        </w:rPr>
        <w:t>2</w:t>
      </w:r>
      <w:r w:rsidR="00A51F23" w:rsidRPr="00A51F23">
        <w:rPr>
          <w:rFonts w:cs="Calibri"/>
          <w:bCs/>
          <w:color w:val="000000"/>
          <w:sz w:val="24"/>
          <w:szCs w:val="24"/>
          <w:lang w:val="en-US"/>
        </w:rPr>
        <w:t>, which is typically removed using conventional upgrading technologies</w:t>
      </w:r>
      <w:r w:rsidR="006E1E15">
        <w:rPr>
          <w:rFonts w:cs="Calibri"/>
          <w:bCs/>
          <w:color w:val="000000"/>
          <w:sz w:val="24"/>
          <w:szCs w:val="24"/>
          <w:lang w:val="en-US"/>
        </w:rPr>
        <w:t xml:space="preserve"> such as basic scrubbings</w:t>
      </w:r>
      <w:r w:rsidR="00A51F23">
        <w:rPr>
          <w:rFonts w:cs="Calibri"/>
          <w:bCs/>
          <w:color w:val="000000"/>
          <w:sz w:val="24"/>
          <w:szCs w:val="24"/>
          <w:lang w:val="en-US"/>
        </w:rPr>
        <w:t xml:space="preserve">. </w:t>
      </w:r>
      <w:r w:rsidR="006E1E15">
        <w:rPr>
          <w:rFonts w:cs="Calibri"/>
          <w:bCs/>
          <w:color w:val="000000"/>
          <w:sz w:val="24"/>
          <w:szCs w:val="24"/>
          <w:lang w:val="en-US"/>
        </w:rPr>
        <w:t xml:space="preserve">Considering </w:t>
      </w:r>
      <w:r w:rsidR="00A51F23" w:rsidRPr="00A51F23">
        <w:rPr>
          <w:rFonts w:cs="Calibri"/>
          <w:bCs/>
          <w:color w:val="000000"/>
          <w:sz w:val="24"/>
          <w:szCs w:val="24"/>
          <w:lang w:val="en-US"/>
        </w:rPr>
        <w:t>direct methanation</w:t>
      </w:r>
      <w:r w:rsidR="006E1E15">
        <w:rPr>
          <w:rFonts w:cs="Calibri"/>
          <w:bCs/>
          <w:color w:val="000000"/>
          <w:sz w:val="24"/>
          <w:szCs w:val="24"/>
          <w:lang w:val="en-US"/>
        </w:rPr>
        <w:t xml:space="preserve"> not as a simple synthetic route but</w:t>
      </w:r>
      <w:r w:rsidR="00A51F23" w:rsidRPr="00A51F23">
        <w:rPr>
          <w:rFonts w:cs="Calibri"/>
          <w:bCs/>
          <w:color w:val="000000"/>
          <w:sz w:val="24"/>
          <w:szCs w:val="24"/>
          <w:lang w:val="en-US"/>
        </w:rPr>
        <w:t xml:space="preserve"> as an upgrading strategy offers the potential to "kill two birds with one stone": it allows both the valorization of the </w:t>
      </w:r>
      <w:r w:rsidR="00A51F23">
        <w:rPr>
          <w:rFonts w:cs="Calibri"/>
          <w:bCs/>
          <w:color w:val="000000"/>
          <w:sz w:val="24"/>
          <w:szCs w:val="24"/>
          <w:lang w:val="en-US"/>
        </w:rPr>
        <w:t>CO</w:t>
      </w:r>
      <w:r w:rsidR="00A51F23" w:rsidRPr="00A51F23">
        <w:rPr>
          <w:rFonts w:cs="Calibri"/>
          <w:bCs/>
          <w:color w:val="000000"/>
          <w:sz w:val="24"/>
          <w:szCs w:val="24"/>
          <w:vertAlign w:val="subscript"/>
          <w:lang w:val="en-US"/>
        </w:rPr>
        <w:t>2</w:t>
      </w:r>
      <w:r w:rsidR="00A51F23">
        <w:rPr>
          <w:rFonts w:cs="Calibri"/>
          <w:bCs/>
          <w:color w:val="000000"/>
          <w:sz w:val="24"/>
          <w:szCs w:val="24"/>
          <w:lang w:val="en-US"/>
        </w:rPr>
        <w:t xml:space="preserve"> fraction</w:t>
      </w:r>
      <w:r w:rsidR="006E1E15">
        <w:rPr>
          <w:rFonts w:cs="Calibri"/>
          <w:bCs/>
          <w:color w:val="000000"/>
          <w:sz w:val="24"/>
          <w:szCs w:val="24"/>
          <w:lang w:val="en-US"/>
        </w:rPr>
        <w:t xml:space="preserve">, </w:t>
      </w:r>
      <w:r w:rsidR="00A51F23" w:rsidRPr="00A51F23">
        <w:rPr>
          <w:rFonts w:cs="Calibri"/>
          <w:bCs/>
          <w:color w:val="000000"/>
          <w:sz w:val="24"/>
          <w:szCs w:val="24"/>
          <w:lang w:val="en-US"/>
        </w:rPr>
        <w:t>the production of grid-quality biomethane</w:t>
      </w:r>
      <w:r w:rsidR="006E1E15">
        <w:rPr>
          <w:rFonts w:cs="Calibri"/>
          <w:bCs/>
          <w:color w:val="000000"/>
          <w:sz w:val="24"/>
          <w:szCs w:val="24"/>
          <w:lang w:val="en-US"/>
        </w:rPr>
        <w:t xml:space="preserve"> and an improved economic feasibility.</w:t>
      </w:r>
    </w:p>
    <w:p w14:paraId="6C8E2EA7" w14:textId="179C0960" w:rsidR="00BC51A2" w:rsidRPr="00BC51A2" w:rsidRDefault="00A51F23" w:rsidP="00E429FE">
      <w:pPr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cs="Calibri"/>
          <w:bCs/>
          <w:color w:val="000000"/>
          <w:sz w:val="24"/>
          <w:szCs w:val="24"/>
          <w:lang w:val="en-US"/>
        </w:rPr>
      </w:pPr>
      <w:r w:rsidRPr="00A51F23">
        <w:rPr>
          <w:rFonts w:cs="Calibri"/>
          <w:bCs/>
          <w:color w:val="000000"/>
          <w:sz w:val="24"/>
          <w:szCs w:val="24"/>
          <w:lang w:val="en-US"/>
        </w:rPr>
        <w:t xml:space="preserve">In this work, we present a techno-economic assessment of </w:t>
      </w:r>
      <w:r w:rsidR="00E429FE">
        <w:rPr>
          <w:rFonts w:cs="Calibri"/>
          <w:bCs/>
          <w:color w:val="000000"/>
          <w:sz w:val="24"/>
          <w:szCs w:val="24"/>
          <w:lang w:val="en-US"/>
        </w:rPr>
        <w:t>direct biogas</w:t>
      </w:r>
      <w:r w:rsidRPr="00A51F23">
        <w:rPr>
          <w:rFonts w:cs="Calibri"/>
          <w:bCs/>
          <w:color w:val="000000"/>
          <w:sz w:val="24"/>
          <w:szCs w:val="24"/>
          <w:lang w:val="en-US"/>
        </w:rPr>
        <w:t xml:space="preserve"> methanation across </w:t>
      </w:r>
      <w:r w:rsidR="00E429FE">
        <w:rPr>
          <w:rFonts w:cs="Calibri"/>
          <w:bCs/>
          <w:color w:val="000000"/>
          <w:sz w:val="24"/>
          <w:szCs w:val="24"/>
          <w:lang w:val="en-US"/>
        </w:rPr>
        <w:t>various</w:t>
      </w:r>
      <w:r w:rsidRPr="00A51F23">
        <w:rPr>
          <w:rFonts w:cs="Calibri"/>
          <w:bCs/>
          <w:color w:val="000000"/>
          <w:sz w:val="24"/>
          <w:szCs w:val="24"/>
          <w:lang w:val="en-US"/>
        </w:rPr>
        <w:t xml:space="preserve"> process configurations.</w:t>
      </w:r>
      <w:r w:rsidR="00BC51A2">
        <w:rPr>
          <w:rFonts w:cs="Calibri"/>
          <w:bCs/>
          <w:color w:val="000000"/>
          <w:sz w:val="24"/>
          <w:szCs w:val="24"/>
          <w:lang w:val="en-US"/>
        </w:rPr>
        <w:t xml:space="preserve"> A</w:t>
      </w:r>
      <w:r w:rsidR="00BC51A2" w:rsidRPr="00BC51A2">
        <w:rPr>
          <w:rFonts w:cs="Calibri"/>
          <w:bCs/>
          <w:color w:val="000000"/>
          <w:sz w:val="24"/>
          <w:szCs w:val="24"/>
          <w:lang w:val="en-US"/>
        </w:rPr>
        <w:t>ll scenarios were derived from optimized process simulations developed in Aspen Plus.</w:t>
      </w:r>
      <w:r w:rsidR="00E429FE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r w:rsidR="00E429FE" w:rsidRPr="00E429FE">
        <w:rPr>
          <w:rFonts w:cs="Calibri"/>
          <w:bCs/>
          <w:color w:val="000000"/>
          <w:sz w:val="24"/>
          <w:szCs w:val="24"/>
          <w:lang w:val="en-US"/>
        </w:rPr>
        <w:t>The analysis was extended over different time scenarios, incorporating projected cost trends for key reagents and products, including hydrogen</w:t>
      </w:r>
      <w:r w:rsidR="00E429FE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r w:rsidR="00E429FE" w:rsidRPr="00E429FE">
        <w:rPr>
          <w:rFonts w:cs="Calibri"/>
          <w:bCs/>
          <w:color w:val="000000"/>
          <w:sz w:val="24"/>
          <w:szCs w:val="24"/>
          <w:lang w:val="en-US"/>
        </w:rPr>
        <w:t>and methane</w:t>
      </w:r>
      <w:r w:rsidR="00E429FE">
        <w:rPr>
          <w:rFonts w:cs="Calibri"/>
          <w:bCs/>
          <w:color w:val="000000"/>
          <w:sz w:val="24"/>
          <w:szCs w:val="24"/>
          <w:lang w:val="en-US"/>
        </w:rPr>
        <w:t>.</w:t>
      </w:r>
      <w:r w:rsidRPr="00A51F23">
        <w:rPr>
          <w:rFonts w:cs="Calibri"/>
          <w:bCs/>
          <w:color w:val="000000"/>
          <w:sz w:val="24"/>
          <w:szCs w:val="24"/>
          <w:lang w:val="en-US"/>
        </w:rPr>
        <w:t xml:space="preserve"> Minimum selling prices (MSPs) were estimated using discounted cash flow analysis, under both linear and MACRS depreciation methods.</w:t>
      </w:r>
      <w:r w:rsidR="00BC51A2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r w:rsidR="006E1E15" w:rsidRPr="00564C37">
        <w:rPr>
          <w:rFonts w:cs="Calibri"/>
          <w:bCs/>
          <w:color w:val="000000"/>
          <w:sz w:val="24"/>
          <w:szCs w:val="24"/>
          <w:lang w:val="en-US"/>
        </w:rPr>
        <w:t>Furthermore, a preliminary non-deterministic analysis was introduced to explore the influence of uncertain parameters, such as hydrogen prices. By incorporating stochastic elements in the economic assessment, the study provides a more realistic range of expected MSP</w:t>
      </w:r>
      <w:r w:rsidR="006E1E15">
        <w:rPr>
          <w:rFonts w:cs="Calibri"/>
          <w:bCs/>
          <w:color w:val="000000"/>
          <w:sz w:val="24"/>
          <w:szCs w:val="24"/>
          <w:lang w:val="en-US"/>
        </w:rPr>
        <w:t>s</w:t>
      </w:r>
      <w:r w:rsidR="006E1E15" w:rsidRPr="00564C37">
        <w:rPr>
          <w:rFonts w:cs="Calibri"/>
          <w:bCs/>
          <w:color w:val="000000"/>
          <w:sz w:val="24"/>
          <w:szCs w:val="24"/>
          <w:lang w:val="en-US"/>
        </w:rPr>
        <w:t xml:space="preserve"> values, offering valuable insights for investment decisions and policy design.</w:t>
      </w:r>
      <w:r w:rsidR="006E1E15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r w:rsidRPr="00A51F23">
        <w:rPr>
          <w:rFonts w:cs="Calibri"/>
          <w:bCs/>
          <w:color w:val="000000"/>
          <w:sz w:val="24"/>
          <w:szCs w:val="24"/>
          <w:lang w:val="en-US"/>
        </w:rPr>
        <w:t xml:space="preserve">Our results show that </w:t>
      </w:r>
      <w:r w:rsidR="00BC51A2">
        <w:rPr>
          <w:rFonts w:cs="Calibri"/>
          <w:bCs/>
          <w:color w:val="000000"/>
          <w:sz w:val="24"/>
          <w:szCs w:val="24"/>
          <w:lang w:val="en-US"/>
        </w:rPr>
        <w:t xml:space="preserve">under certain conditions it’s possible to reach </w:t>
      </w:r>
      <w:r w:rsidRPr="00A51F23">
        <w:rPr>
          <w:rFonts w:cs="Calibri"/>
          <w:bCs/>
          <w:color w:val="000000"/>
          <w:sz w:val="24"/>
          <w:szCs w:val="24"/>
          <w:lang w:val="en-US"/>
        </w:rPr>
        <w:t xml:space="preserve">MSPs </w:t>
      </w:r>
      <w:r w:rsidR="006E1E15">
        <w:rPr>
          <w:rFonts w:cs="Calibri"/>
          <w:bCs/>
          <w:color w:val="000000"/>
          <w:sz w:val="24"/>
          <w:szCs w:val="24"/>
          <w:lang w:val="en-US"/>
        </w:rPr>
        <w:t>relatively close to the one of traditionally upgraded biomethane</w:t>
      </w:r>
      <w:r w:rsidRPr="00A51F23">
        <w:rPr>
          <w:rFonts w:cs="Calibri"/>
          <w:bCs/>
          <w:color w:val="000000"/>
          <w:sz w:val="24"/>
          <w:szCs w:val="24"/>
          <w:lang w:val="en-US"/>
        </w:rPr>
        <w:t xml:space="preserve">, the profitability of methanation-based upgrading remains </w:t>
      </w:r>
      <w:r w:rsidR="00BC51A2">
        <w:rPr>
          <w:rFonts w:cs="Calibri"/>
          <w:bCs/>
          <w:color w:val="000000"/>
          <w:sz w:val="24"/>
          <w:szCs w:val="24"/>
          <w:lang w:val="en-US"/>
        </w:rPr>
        <w:t>extremely</w:t>
      </w:r>
      <w:r w:rsidRPr="00A51F23">
        <w:rPr>
          <w:rFonts w:cs="Calibri"/>
          <w:bCs/>
          <w:color w:val="000000"/>
          <w:sz w:val="24"/>
          <w:szCs w:val="24"/>
          <w:lang w:val="en-US"/>
        </w:rPr>
        <w:t xml:space="preserve"> sensitive to the </w:t>
      </w:r>
      <w:r w:rsidR="00B02E84" w:rsidRPr="00A51F23">
        <w:rPr>
          <w:rFonts w:cs="Calibri"/>
          <w:bCs/>
          <w:color w:val="000000"/>
          <w:sz w:val="24"/>
          <w:szCs w:val="24"/>
          <w:lang w:val="en-US"/>
        </w:rPr>
        <w:t>price of hydrogen</w:t>
      </w:r>
      <w:r w:rsidR="00BC51A2">
        <w:rPr>
          <w:rFonts w:cs="Calibri"/>
          <w:bCs/>
          <w:color w:val="000000"/>
          <w:sz w:val="24"/>
          <w:szCs w:val="24"/>
          <w:lang w:val="en-US"/>
        </w:rPr>
        <w:t xml:space="preserve">. </w:t>
      </w:r>
      <w:r w:rsidR="00BC51A2" w:rsidRPr="00BC51A2">
        <w:rPr>
          <w:rFonts w:cs="Calibri"/>
          <w:bCs/>
          <w:color w:val="000000"/>
          <w:sz w:val="24"/>
          <w:szCs w:val="24"/>
          <w:lang w:val="en-US"/>
        </w:rPr>
        <w:t>Additionally, hypothetical operating conditions were tested</w:t>
      </w:r>
      <w:r w:rsidR="00BC51A2">
        <w:rPr>
          <w:rFonts w:cs="Calibri"/>
          <w:bCs/>
          <w:color w:val="000000"/>
          <w:sz w:val="24"/>
          <w:szCs w:val="24"/>
          <w:lang w:val="en-US"/>
        </w:rPr>
        <w:t xml:space="preserve"> considering </w:t>
      </w:r>
      <w:r w:rsidR="00BC51A2" w:rsidRPr="00BC51A2">
        <w:rPr>
          <w:rFonts w:cs="Calibri"/>
          <w:bCs/>
          <w:color w:val="000000"/>
          <w:sz w:val="24"/>
          <w:szCs w:val="24"/>
          <w:lang w:val="en-US"/>
        </w:rPr>
        <w:t>grid injection specifications that allowed higher residual hydrogen content in the final methane stream. This approach enabled a reduction in purification and compression requirements, offering insights into potential cost savings in more flexible regulatory frameworks.</w:t>
      </w:r>
    </w:p>
    <w:p w14:paraId="4C4B0DB0" w14:textId="77777777" w:rsidR="0043650B" w:rsidRDefault="0043650B" w:rsidP="003D6266">
      <w:pPr>
        <w:pStyle w:val="Abstract"/>
        <w:tabs>
          <w:tab w:val="center" w:pos="4986"/>
        </w:tabs>
        <w:ind w:left="0"/>
        <w:contextualSpacing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7E66027F" w14:textId="77777777" w:rsidR="0043650B" w:rsidRDefault="00166F77" w:rsidP="0043650B">
      <w:pPr>
        <w:pStyle w:val="Abstract"/>
        <w:tabs>
          <w:tab w:val="center" w:pos="4986"/>
        </w:tabs>
        <w:ind w:left="0"/>
        <w:contextualSpacing/>
        <w:rPr>
          <w:rFonts w:ascii="Calibri" w:hAnsi="Calibri" w:cs="Calibri"/>
          <w:i/>
          <w:iCs/>
          <w:sz w:val="24"/>
          <w:szCs w:val="24"/>
        </w:rPr>
      </w:pPr>
      <w:r w:rsidRPr="005B6A62">
        <w:rPr>
          <w:rFonts w:ascii="Calibri" w:hAnsi="Calibri" w:cs="Calibri"/>
          <w:b/>
          <w:bCs/>
          <w:sz w:val="24"/>
          <w:szCs w:val="24"/>
        </w:rPr>
        <w:t>Keywords</w:t>
      </w:r>
      <w:r w:rsidRPr="005B6A62">
        <w:rPr>
          <w:rFonts w:ascii="Calibri" w:hAnsi="Calibri" w:cs="Calibri"/>
          <w:sz w:val="24"/>
          <w:szCs w:val="24"/>
        </w:rPr>
        <w:t>:</w:t>
      </w:r>
      <w:r w:rsidR="00564C37">
        <w:rPr>
          <w:rFonts w:ascii="Calibri" w:hAnsi="Calibri" w:cs="Calibri"/>
          <w:sz w:val="24"/>
          <w:szCs w:val="24"/>
        </w:rPr>
        <w:t xml:space="preserve"> </w:t>
      </w:r>
      <w:r w:rsidR="00564C37" w:rsidRPr="00564C37">
        <w:rPr>
          <w:rFonts w:ascii="Calibri" w:hAnsi="Calibri" w:cs="Calibri"/>
          <w:i/>
          <w:iCs/>
          <w:sz w:val="24"/>
          <w:szCs w:val="24"/>
        </w:rPr>
        <w:t>CO</w:t>
      </w:r>
      <w:r w:rsidR="00564C37" w:rsidRPr="00564C37">
        <w:rPr>
          <w:rFonts w:ascii="Calibri" w:hAnsi="Calibri" w:cs="Calibri"/>
          <w:i/>
          <w:iCs/>
          <w:sz w:val="24"/>
          <w:szCs w:val="24"/>
          <w:vertAlign w:val="subscript"/>
        </w:rPr>
        <w:t>2</w:t>
      </w:r>
      <w:r w:rsidR="00564C37" w:rsidRPr="00564C37">
        <w:rPr>
          <w:rFonts w:ascii="Calibri" w:hAnsi="Calibri" w:cs="Calibri"/>
          <w:i/>
          <w:iCs/>
          <w:sz w:val="24"/>
          <w:szCs w:val="24"/>
        </w:rPr>
        <w:t xml:space="preserve"> methanation, </w:t>
      </w:r>
      <w:r w:rsidR="001E699F">
        <w:rPr>
          <w:rFonts w:ascii="Calibri" w:hAnsi="Calibri" w:cs="Calibri"/>
          <w:i/>
          <w:iCs/>
          <w:sz w:val="24"/>
          <w:szCs w:val="24"/>
        </w:rPr>
        <w:t>power-to-gas</w:t>
      </w:r>
      <w:r w:rsidR="00564C37" w:rsidRPr="00564C37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1E699F">
        <w:rPr>
          <w:rFonts w:ascii="Calibri" w:hAnsi="Calibri" w:cs="Calibri"/>
          <w:i/>
          <w:iCs/>
          <w:sz w:val="24"/>
          <w:szCs w:val="24"/>
          <w:lang w:val="en-US"/>
        </w:rPr>
        <w:t>t</w:t>
      </w:r>
      <w:r w:rsidR="001E699F" w:rsidRPr="001E699F">
        <w:rPr>
          <w:rFonts w:ascii="Calibri" w:hAnsi="Calibri" w:cs="Calibri"/>
          <w:i/>
          <w:iCs/>
          <w:sz w:val="24"/>
          <w:szCs w:val="24"/>
          <w:lang w:val="en-US"/>
        </w:rPr>
        <w:t>echno-economic assessment</w:t>
      </w:r>
      <w:r w:rsidR="00564C37" w:rsidRPr="00564C37">
        <w:rPr>
          <w:rFonts w:ascii="Calibri" w:hAnsi="Calibri" w:cs="Calibri"/>
          <w:i/>
          <w:iCs/>
          <w:sz w:val="24"/>
          <w:szCs w:val="24"/>
        </w:rPr>
        <w:t>, minimum selling price, biomethane</w:t>
      </w:r>
    </w:p>
    <w:p w14:paraId="3D43269B" w14:textId="77777777" w:rsidR="00B677AF" w:rsidRPr="00B677AF" w:rsidRDefault="00B677AF" w:rsidP="0043650B">
      <w:pPr>
        <w:pStyle w:val="Abstract"/>
        <w:tabs>
          <w:tab w:val="center" w:pos="4986"/>
        </w:tabs>
        <w:ind w:left="0"/>
        <w:contextualSpacing/>
        <w:rPr>
          <w:rFonts w:ascii="Calibri" w:eastAsia="Calibri" w:hAnsi="Calibri" w:cs="Calibri"/>
          <w:bCs/>
          <w:sz w:val="24"/>
          <w:szCs w:val="24"/>
          <w:lang w:val="en-US"/>
        </w:rPr>
      </w:pPr>
    </w:p>
    <w:p w14:paraId="1C99A9C2" w14:textId="542CE67E" w:rsidR="0043650B" w:rsidRPr="0057259C" w:rsidRDefault="00B677AF" w:rsidP="0043650B">
      <w:pPr>
        <w:pStyle w:val="Abstract"/>
        <w:tabs>
          <w:tab w:val="center" w:pos="4986"/>
        </w:tabs>
        <w:ind w:left="0"/>
        <w:contextualSpacing/>
        <w:rPr>
          <w:rFonts w:ascii="Calibri" w:eastAsia="Calibri" w:hAnsi="Calibri" w:cs="Calibri"/>
          <w:bCs/>
          <w:lang w:val="it-IT"/>
        </w:rPr>
      </w:pPr>
      <w:proofErr w:type="spellStart"/>
      <w:r w:rsidRPr="0057259C">
        <w:rPr>
          <w:rFonts w:ascii="Calibri" w:eastAsia="Calibri" w:hAnsi="Calibri" w:cs="Calibri"/>
          <w:b/>
          <w:lang w:val="it-IT"/>
        </w:rPr>
        <w:t>Acknowledgment</w:t>
      </w:r>
      <w:proofErr w:type="spellEnd"/>
      <w:r w:rsidRPr="0057259C">
        <w:rPr>
          <w:rFonts w:ascii="Calibri" w:eastAsia="Calibri" w:hAnsi="Calibri" w:cs="Calibri"/>
          <w:bCs/>
          <w:lang w:val="it-IT"/>
        </w:rPr>
        <w:t xml:space="preserve">: </w:t>
      </w:r>
      <w:r w:rsidR="0043650B" w:rsidRPr="0057259C">
        <w:rPr>
          <w:rFonts w:ascii="Calibri" w:eastAsia="Calibri" w:hAnsi="Calibri" w:cs="Calibri"/>
          <w:bCs/>
          <w:lang w:val="it-IT"/>
        </w:rPr>
        <w:t xml:space="preserve">Agritech National </w:t>
      </w:r>
      <w:proofErr w:type="spellStart"/>
      <w:r w:rsidR="0043650B" w:rsidRPr="0057259C">
        <w:rPr>
          <w:rFonts w:ascii="Calibri" w:eastAsia="Calibri" w:hAnsi="Calibri" w:cs="Calibri"/>
          <w:bCs/>
          <w:lang w:val="it-IT"/>
        </w:rPr>
        <w:t>Research</w:t>
      </w:r>
      <w:proofErr w:type="spellEnd"/>
      <w:r w:rsidR="0043650B" w:rsidRPr="0057259C">
        <w:rPr>
          <w:rFonts w:ascii="Calibri" w:eastAsia="Calibri" w:hAnsi="Calibri" w:cs="Calibri"/>
          <w:bCs/>
          <w:lang w:val="it-IT"/>
        </w:rPr>
        <w:t xml:space="preserve"> Center (PIANO NAZIONALE DI RIPRESA E RESILIENZA (PNRR) – MISSIONE 4 COMPONENTE 2, INVESTIMENTO 1.4 – D.D. 1032 17/06/2022, CN00000022).</w:t>
      </w:r>
    </w:p>
    <w:sectPr w:rsidR="0043650B" w:rsidRPr="0057259C" w:rsidSect="00C9288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134" w:bottom="2126" w:left="1134" w:header="425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259B3" w14:textId="77777777" w:rsidR="00096F9E" w:rsidRDefault="00096F9E" w:rsidP="0072716A">
      <w:pPr>
        <w:spacing w:after="0" w:line="240" w:lineRule="auto"/>
      </w:pPr>
      <w:r>
        <w:separator/>
      </w:r>
    </w:p>
  </w:endnote>
  <w:endnote w:type="continuationSeparator" w:id="0">
    <w:p w14:paraId="28DBC548" w14:textId="77777777" w:rsidR="00096F9E" w:rsidRDefault="00096F9E" w:rsidP="0072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2"/>
      <w:gridCol w:w="9972"/>
    </w:tblGrid>
    <w:tr w:rsidR="00C9288D" w:rsidRPr="00D85ABE" w14:paraId="4F1943C1" w14:textId="77777777" w:rsidTr="00C9288D">
      <w:trPr>
        <w:trHeight w:val="695"/>
      </w:trPr>
      <w:tc>
        <w:tcPr>
          <w:tcW w:w="997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7E4C3B" w14:textId="0481C8AB" w:rsidR="00C9288D" w:rsidRPr="005B6A62" w:rsidRDefault="00C9288D" w:rsidP="00C9288D">
          <w:pPr>
            <w:pStyle w:val="Pidipagina"/>
            <w:tabs>
              <w:tab w:val="clear" w:pos="4819"/>
              <w:tab w:val="center" w:pos="6946"/>
            </w:tabs>
            <w:rPr>
              <w:rFonts w:asciiTheme="minorHAnsi" w:hAnsiTheme="minorHAnsi" w:cstheme="minorHAnsi"/>
              <w:noProof/>
              <w:sz w:val="18"/>
              <w:szCs w:val="18"/>
              <w:lang w:val="en-US"/>
            </w:rPr>
          </w:pPr>
          <w:r w:rsidRPr="005B6A62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45EE5767" wp14:editId="30291D3A">
                <wp:simplePos x="0" y="0"/>
                <wp:positionH relativeFrom="column">
                  <wp:posOffset>5173980</wp:posOffset>
                </wp:positionH>
                <wp:positionV relativeFrom="paragraph">
                  <wp:posOffset>635</wp:posOffset>
                </wp:positionV>
                <wp:extent cx="1025525" cy="439420"/>
                <wp:effectExtent l="0" t="0" r="3175" b="0"/>
                <wp:wrapTight wrapText="bothSides">
                  <wp:wrapPolygon edited="0">
                    <wp:start x="0" y="0"/>
                    <wp:lineTo x="0" y="20601"/>
                    <wp:lineTo x="21266" y="20601"/>
                    <wp:lineTo x="21266" y="0"/>
                    <wp:lineTo x="0" y="0"/>
                  </wp:wrapPolygon>
                </wp:wrapTight>
                <wp:docPr id="83627217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2481497" name="Immagine 158248149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439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B6A62">
            <w:rPr>
              <w:rFonts w:asciiTheme="minorHAnsi" w:hAnsiTheme="minorHAnsi" w:cstheme="minorHAnsi"/>
              <w:sz w:val="18"/>
              <w:szCs w:val="18"/>
              <w:lang w:val="en-US"/>
            </w:rPr>
            <w:t>GRICU 2025 – Challenging Chemical Engineering</w:t>
          </w:r>
          <w:r w:rsidRPr="005B6A62">
            <w:rPr>
              <w:rFonts w:asciiTheme="minorHAnsi" w:hAnsiTheme="minorHAnsi" w:cstheme="minorHAnsi"/>
              <w:sz w:val="18"/>
              <w:szCs w:val="18"/>
              <w:lang w:val="en-US"/>
            </w:rPr>
            <w:br/>
            <w:t>September 14-17, 2025, Ischia, Italy</w:t>
          </w:r>
        </w:p>
      </w:tc>
      <w:tc>
        <w:tcPr>
          <w:tcW w:w="997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3639A09" w14:textId="3CFC9F76" w:rsidR="00C9288D" w:rsidRPr="00D85ABE" w:rsidRDefault="00C9288D" w:rsidP="00C9288D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noProof/>
              <w:sz w:val="18"/>
              <w:szCs w:val="18"/>
            </w:rPr>
            <w:drawing>
              <wp:inline distT="0" distB="0" distL="0" distR="0" wp14:anchorId="49E60C46" wp14:editId="31EAE5C7">
                <wp:extent cx="1190625" cy="510371"/>
                <wp:effectExtent l="0" t="0" r="0" b="4445"/>
                <wp:docPr id="4036049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3688849" name="Immagine 61368884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209" cy="51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B5B062" w14:textId="26D7FDF3" w:rsidR="002364A0" w:rsidRPr="002B2884" w:rsidRDefault="00C9288D" w:rsidP="00C9288D">
    <w:pPr>
      <w:pStyle w:val="Pidipagina"/>
      <w:tabs>
        <w:tab w:val="clear" w:pos="4819"/>
        <w:tab w:val="left" w:pos="1125"/>
        <w:tab w:val="center" w:pos="6521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2"/>
    </w:tblGrid>
    <w:tr w:rsidR="00D85ABE" w:rsidRPr="00D85ABE" w14:paraId="2FAA0FF8" w14:textId="77777777" w:rsidTr="00D85ABE"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F6C0FE1" w14:textId="1A334FF0" w:rsidR="00D85ABE" w:rsidRPr="00D85ABE" w:rsidRDefault="00D85ABE" w:rsidP="00D85ABE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 w:rsidRPr="00D85ABE">
            <w:rPr>
              <w:rFonts w:ascii="Times New Roman" w:hAnsi="Times New Roman"/>
              <w:sz w:val="18"/>
              <w:szCs w:val="18"/>
            </w:rPr>
            <w:t xml:space="preserve">page </w: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t xml:space="preserve"> of 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instrText xml:space="preserve"> NUMPAGES   \* MERGEFORMAT </w:instrTex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</w:p>
      </w:tc>
    </w:tr>
  </w:tbl>
  <w:p w14:paraId="2A335FC8" w14:textId="77777777" w:rsidR="00371A00" w:rsidRPr="00FE0F24" w:rsidRDefault="00371A00" w:rsidP="00D85ABE">
    <w:pPr>
      <w:pStyle w:val="Pidipagina"/>
      <w:tabs>
        <w:tab w:val="clear" w:pos="4819"/>
        <w:tab w:val="center" w:pos="6946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1C4A" w14:textId="77777777" w:rsidR="00096F9E" w:rsidRDefault="00096F9E" w:rsidP="0072716A">
      <w:pPr>
        <w:spacing w:after="0" w:line="240" w:lineRule="auto"/>
      </w:pPr>
      <w:r>
        <w:separator/>
      </w:r>
    </w:p>
  </w:footnote>
  <w:footnote w:type="continuationSeparator" w:id="0">
    <w:p w14:paraId="46CDB2BE" w14:textId="77777777" w:rsidR="00096F9E" w:rsidRDefault="00096F9E" w:rsidP="0072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1379" w14:textId="77777777" w:rsidR="00505969" w:rsidRDefault="00505969" w:rsidP="007E1801">
    <w:pPr>
      <w:spacing w:after="60" w:line="240" w:lineRule="auto"/>
      <w:jc w:val="right"/>
      <w:rPr>
        <w:rFonts w:ascii="Times New Roman" w:hAnsi="Times New Roman"/>
        <w:smallCaps/>
        <w:sz w:val="18"/>
        <w:szCs w:val="18"/>
        <w:lang w:val="en-GB"/>
      </w:rPr>
    </w:pPr>
  </w:p>
  <w:p w14:paraId="733DCB4C" w14:textId="76AFC285" w:rsidR="007E1801" w:rsidRPr="00D5399E" w:rsidRDefault="007E1801" w:rsidP="00286251">
    <w:pPr>
      <w:spacing w:after="60" w:line="240" w:lineRule="auto"/>
      <w:jc w:val="right"/>
      <w:rPr>
        <w:rFonts w:ascii="Times New Roman" w:hAnsi="Times New Roman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0468" w14:textId="77777777" w:rsidR="00A32456" w:rsidRPr="001C3CAD" w:rsidRDefault="00A32456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  <w:lang w:val="en-GB"/>
      </w:rPr>
    </w:pPr>
  </w:p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972"/>
    </w:tblGrid>
    <w:tr w:rsidR="00A32456" w:rsidRPr="00286251" w14:paraId="0C21058C" w14:textId="77777777" w:rsidTr="00D85ABE">
      <w:tc>
        <w:tcPr>
          <w:tcW w:w="9054" w:type="dxa"/>
          <w:shd w:val="clear" w:color="auto" w:fill="auto"/>
        </w:tcPr>
        <w:p w14:paraId="5BFC0111" w14:textId="22DED926" w:rsidR="00A32456" w:rsidRPr="00D85ABE" w:rsidRDefault="00B029D3" w:rsidP="00D85AB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  <w:lang w:val="en-GB"/>
            </w:rPr>
          </w:pPr>
          <w:proofErr w:type="gramStart"/>
          <w:r>
            <w:rPr>
              <w:rFonts w:ascii="Times New Roman" w:hAnsi="Times New Roman"/>
              <w:sz w:val="18"/>
              <w:szCs w:val="18"/>
              <w:lang w:val="en-GB"/>
            </w:rPr>
            <w:t>4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>1</w:t>
          </w:r>
          <w:r w:rsidR="00A32456" w:rsidRPr="00D85ABE">
            <w:rPr>
              <w:rFonts w:ascii="Times New Roman" w:hAnsi="Times New Roman"/>
              <w:sz w:val="18"/>
              <w:szCs w:val="18"/>
              <w:vertAlign w:val="superscript"/>
              <w:lang w:val="en-GB"/>
            </w:rPr>
            <w:t>th</w:t>
          </w:r>
          <w:proofErr w:type="gramEnd"/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 UIT I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 xml:space="preserve">nternational 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Heat Transfer 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>Conference</w:t>
          </w:r>
        </w:p>
        <w:p w14:paraId="3E6036BF" w14:textId="56D7C0A1" w:rsidR="00A32456" w:rsidRPr="00602331" w:rsidRDefault="00A32456" w:rsidP="00CD25E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</w:rPr>
          </w:pPr>
          <w:r w:rsidRPr="00D85ABE">
            <w:rPr>
              <w:rFonts w:ascii="Times New Roman" w:hAnsi="Times New Roman"/>
              <w:sz w:val="18"/>
              <w:szCs w:val="18"/>
            </w:rPr>
            <w:t>June</w:t>
          </w:r>
          <w:r w:rsidR="00CD25EE">
            <w:rPr>
              <w:rFonts w:ascii="Times New Roman" w:hAnsi="Times New Roman"/>
              <w:sz w:val="18"/>
              <w:szCs w:val="18"/>
            </w:rPr>
            <w:t xml:space="preserve"> 19</w:t>
          </w:r>
          <w:r w:rsidRPr="00D85ABE">
            <w:rPr>
              <w:rFonts w:ascii="Times New Roman" w:hAnsi="Times New Roman"/>
              <w:sz w:val="18"/>
              <w:szCs w:val="18"/>
            </w:rPr>
            <w:t>-</w:t>
          </w:r>
          <w:r w:rsidR="00CD25EE">
            <w:rPr>
              <w:rFonts w:ascii="Times New Roman" w:hAnsi="Times New Roman"/>
              <w:sz w:val="18"/>
              <w:szCs w:val="18"/>
            </w:rPr>
            <w:t>21</w:t>
          </w:r>
          <w:r w:rsidRPr="00D85ABE">
            <w:rPr>
              <w:rFonts w:ascii="Times New Roman" w:hAnsi="Times New Roman"/>
              <w:sz w:val="18"/>
              <w:szCs w:val="18"/>
            </w:rPr>
            <w:t>, 202</w:t>
          </w:r>
          <w:r w:rsidR="00CD25EE">
            <w:rPr>
              <w:rFonts w:ascii="Times New Roman" w:hAnsi="Times New Roman"/>
              <w:sz w:val="18"/>
              <w:szCs w:val="18"/>
            </w:rPr>
            <w:t>4</w:t>
          </w:r>
          <w:r w:rsidRPr="00D85ABE">
            <w:rPr>
              <w:rFonts w:ascii="Times New Roman" w:hAnsi="Times New Roman"/>
              <w:sz w:val="18"/>
              <w:szCs w:val="18"/>
            </w:rPr>
            <w:t xml:space="preserve">, </w:t>
          </w:r>
          <w:r w:rsidR="00CD25EE">
            <w:rPr>
              <w:rFonts w:ascii="Times New Roman" w:hAnsi="Times New Roman"/>
              <w:sz w:val="18"/>
              <w:szCs w:val="18"/>
            </w:rPr>
            <w:t>Napoli</w:t>
          </w:r>
          <w:r w:rsidRPr="00D85ABE">
            <w:rPr>
              <w:rFonts w:ascii="Times New Roman" w:hAnsi="Times New Roman"/>
              <w:sz w:val="18"/>
              <w:szCs w:val="18"/>
            </w:rPr>
            <w:t xml:space="preserve">, </w:t>
          </w:r>
          <w:proofErr w:type="spellStart"/>
          <w:r w:rsidRPr="00D85ABE">
            <w:rPr>
              <w:rFonts w:ascii="Times New Roman" w:hAnsi="Times New Roman"/>
              <w:sz w:val="18"/>
              <w:szCs w:val="18"/>
            </w:rPr>
            <w:t>Italy</w:t>
          </w:r>
          <w:proofErr w:type="spellEnd"/>
        </w:p>
      </w:tc>
    </w:tr>
  </w:tbl>
  <w:p w14:paraId="69DE7C43" w14:textId="77777777" w:rsidR="00371A00" w:rsidRPr="00286251" w:rsidRDefault="00371A00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6F2D"/>
    <w:multiLevelType w:val="hybridMultilevel"/>
    <w:tmpl w:val="EA8EF02E"/>
    <w:lvl w:ilvl="0" w:tplc="C766187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A73"/>
    <w:multiLevelType w:val="hybridMultilevel"/>
    <w:tmpl w:val="B190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3FA"/>
    <w:multiLevelType w:val="hybridMultilevel"/>
    <w:tmpl w:val="63A4F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5156"/>
    <w:multiLevelType w:val="hybridMultilevel"/>
    <w:tmpl w:val="0C683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687292">
    <w:abstractNumId w:val="1"/>
  </w:num>
  <w:num w:numId="2" w16cid:durableId="1118187146">
    <w:abstractNumId w:val="0"/>
  </w:num>
  <w:num w:numId="3" w16cid:durableId="1550874573">
    <w:abstractNumId w:val="2"/>
  </w:num>
  <w:num w:numId="4" w16cid:durableId="1293555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D0"/>
    <w:rsid w:val="00040787"/>
    <w:rsid w:val="00050B46"/>
    <w:rsid w:val="00055E4E"/>
    <w:rsid w:val="000807B2"/>
    <w:rsid w:val="00087BDF"/>
    <w:rsid w:val="00096F9E"/>
    <w:rsid w:val="000A7F56"/>
    <w:rsid w:val="000F0FF0"/>
    <w:rsid w:val="001064EC"/>
    <w:rsid w:val="00127A73"/>
    <w:rsid w:val="00150AB6"/>
    <w:rsid w:val="00166F77"/>
    <w:rsid w:val="001B3E11"/>
    <w:rsid w:val="001C3CAD"/>
    <w:rsid w:val="001C66EA"/>
    <w:rsid w:val="001D5A3E"/>
    <w:rsid w:val="001E449D"/>
    <w:rsid w:val="001E699F"/>
    <w:rsid w:val="001F58B3"/>
    <w:rsid w:val="00231201"/>
    <w:rsid w:val="00232B98"/>
    <w:rsid w:val="002364A0"/>
    <w:rsid w:val="00240F69"/>
    <w:rsid w:val="00256791"/>
    <w:rsid w:val="00284C43"/>
    <w:rsid w:val="00286251"/>
    <w:rsid w:val="002B2884"/>
    <w:rsid w:val="002D2FDA"/>
    <w:rsid w:val="002E0301"/>
    <w:rsid w:val="002E20A7"/>
    <w:rsid w:val="002F49CB"/>
    <w:rsid w:val="0031081F"/>
    <w:rsid w:val="00312319"/>
    <w:rsid w:val="003301D2"/>
    <w:rsid w:val="003337EA"/>
    <w:rsid w:val="00335755"/>
    <w:rsid w:val="00336629"/>
    <w:rsid w:val="0034457D"/>
    <w:rsid w:val="00353CED"/>
    <w:rsid w:val="0035783C"/>
    <w:rsid w:val="003623D0"/>
    <w:rsid w:val="00371A00"/>
    <w:rsid w:val="003733A0"/>
    <w:rsid w:val="00374E43"/>
    <w:rsid w:val="003911CB"/>
    <w:rsid w:val="0039134A"/>
    <w:rsid w:val="00395222"/>
    <w:rsid w:val="003C09E0"/>
    <w:rsid w:val="003D304C"/>
    <w:rsid w:val="003D4992"/>
    <w:rsid w:val="003D6266"/>
    <w:rsid w:val="003E0C3D"/>
    <w:rsid w:val="00412B82"/>
    <w:rsid w:val="004211B1"/>
    <w:rsid w:val="004262B4"/>
    <w:rsid w:val="0043650B"/>
    <w:rsid w:val="004456B0"/>
    <w:rsid w:val="00471732"/>
    <w:rsid w:val="00481A10"/>
    <w:rsid w:val="004909A6"/>
    <w:rsid w:val="00494403"/>
    <w:rsid w:val="004964F3"/>
    <w:rsid w:val="004A3BE7"/>
    <w:rsid w:val="004A5E5A"/>
    <w:rsid w:val="004B0E3D"/>
    <w:rsid w:val="004D20B4"/>
    <w:rsid w:val="004E46D9"/>
    <w:rsid w:val="004E4C7F"/>
    <w:rsid w:val="00505969"/>
    <w:rsid w:val="00510DBF"/>
    <w:rsid w:val="005118E4"/>
    <w:rsid w:val="0052470B"/>
    <w:rsid w:val="00545ECB"/>
    <w:rsid w:val="00554D59"/>
    <w:rsid w:val="00560E7F"/>
    <w:rsid w:val="00564C37"/>
    <w:rsid w:val="0057259C"/>
    <w:rsid w:val="00574E8F"/>
    <w:rsid w:val="005B00F2"/>
    <w:rsid w:val="005B27E7"/>
    <w:rsid w:val="005B6A62"/>
    <w:rsid w:val="005E78A7"/>
    <w:rsid w:val="00600984"/>
    <w:rsid w:val="006009FC"/>
    <w:rsid w:val="00602331"/>
    <w:rsid w:val="00602D67"/>
    <w:rsid w:val="006254B9"/>
    <w:rsid w:val="006336D6"/>
    <w:rsid w:val="00651FC1"/>
    <w:rsid w:val="00676F01"/>
    <w:rsid w:val="00690295"/>
    <w:rsid w:val="00690E85"/>
    <w:rsid w:val="006930B6"/>
    <w:rsid w:val="006B5C33"/>
    <w:rsid w:val="006E1E15"/>
    <w:rsid w:val="007066B2"/>
    <w:rsid w:val="00711329"/>
    <w:rsid w:val="00711972"/>
    <w:rsid w:val="00712867"/>
    <w:rsid w:val="00712A6F"/>
    <w:rsid w:val="0072716A"/>
    <w:rsid w:val="0073278C"/>
    <w:rsid w:val="00741A95"/>
    <w:rsid w:val="00753A5E"/>
    <w:rsid w:val="00766E94"/>
    <w:rsid w:val="007765ED"/>
    <w:rsid w:val="00777764"/>
    <w:rsid w:val="00785D84"/>
    <w:rsid w:val="00786292"/>
    <w:rsid w:val="007873CD"/>
    <w:rsid w:val="007A7D87"/>
    <w:rsid w:val="007B27EA"/>
    <w:rsid w:val="007B3FF0"/>
    <w:rsid w:val="007C345E"/>
    <w:rsid w:val="007C3B07"/>
    <w:rsid w:val="007C6CAF"/>
    <w:rsid w:val="007E1801"/>
    <w:rsid w:val="007F7A38"/>
    <w:rsid w:val="00807CCD"/>
    <w:rsid w:val="00821E2D"/>
    <w:rsid w:val="00830A74"/>
    <w:rsid w:val="00831A4D"/>
    <w:rsid w:val="00836789"/>
    <w:rsid w:val="00845F20"/>
    <w:rsid w:val="008638EB"/>
    <w:rsid w:val="00872AE1"/>
    <w:rsid w:val="00874E52"/>
    <w:rsid w:val="008A3E06"/>
    <w:rsid w:val="008D0D75"/>
    <w:rsid w:val="008D45DE"/>
    <w:rsid w:val="008E2023"/>
    <w:rsid w:val="008E6878"/>
    <w:rsid w:val="008F318A"/>
    <w:rsid w:val="008F462F"/>
    <w:rsid w:val="00900C58"/>
    <w:rsid w:val="00901DE6"/>
    <w:rsid w:val="0090681B"/>
    <w:rsid w:val="00906DA6"/>
    <w:rsid w:val="009110AF"/>
    <w:rsid w:val="00913F97"/>
    <w:rsid w:val="00927214"/>
    <w:rsid w:val="00931353"/>
    <w:rsid w:val="00964078"/>
    <w:rsid w:val="00985F4E"/>
    <w:rsid w:val="009B6927"/>
    <w:rsid w:val="009D1E49"/>
    <w:rsid w:val="00A17800"/>
    <w:rsid w:val="00A32456"/>
    <w:rsid w:val="00A51F23"/>
    <w:rsid w:val="00A56889"/>
    <w:rsid w:val="00A75D50"/>
    <w:rsid w:val="00A76AA9"/>
    <w:rsid w:val="00A92FB5"/>
    <w:rsid w:val="00AA4374"/>
    <w:rsid w:val="00AA7032"/>
    <w:rsid w:val="00AB21B4"/>
    <w:rsid w:val="00AB4DBD"/>
    <w:rsid w:val="00AC3650"/>
    <w:rsid w:val="00AD3AAC"/>
    <w:rsid w:val="00B029D3"/>
    <w:rsid w:val="00B02E84"/>
    <w:rsid w:val="00B20865"/>
    <w:rsid w:val="00B34985"/>
    <w:rsid w:val="00B677AF"/>
    <w:rsid w:val="00B834F0"/>
    <w:rsid w:val="00B902E3"/>
    <w:rsid w:val="00B97BAA"/>
    <w:rsid w:val="00BB12A2"/>
    <w:rsid w:val="00BC2CE6"/>
    <w:rsid w:val="00BC51A2"/>
    <w:rsid w:val="00BD198C"/>
    <w:rsid w:val="00BD22C0"/>
    <w:rsid w:val="00BE4DA0"/>
    <w:rsid w:val="00BF1C37"/>
    <w:rsid w:val="00C054BC"/>
    <w:rsid w:val="00C06A92"/>
    <w:rsid w:val="00C102A3"/>
    <w:rsid w:val="00C23475"/>
    <w:rsid w:val="00C23B95"/>
    <w:rsid w:val="00C240B5"/>
    <w:rsid w:val="00C333B1"/>
    <w:rsid w:val="00C641EC"/>
    <w:rsid w:val="00C81FF0"/>
    <w:rsid w:val="00C85E06"/>
    <w:rsid w:val="00C9288D"/>
    <w:rsid w:val="00CA7C85"/>
    <w:rsid w:val="00CB7B13"/>
    <w:rsid w:val="00CC110C"/>
    <w:rsid w:val="00CC1615"/>
    <w:rsid w:val="00CD25EE"/>
    <w:rsid w:val="00CE4D54"/>
    <w:rsid w:val="00D1632A"/>
    <w:rsid w:val="00D2047B"/>
    <w:rsid w:val="00D22FAD"/>
    <w:rsid w:val="00D5399E"/>
    <w:rsid w:val="00D5442B"/>
    <w:rsid w:val="00D746DE"/>
    <w:rsid w:val="00D85ABE"/>
    <w:rsid w:val="00D921E3"/>
    <w:rsid w:val="00DC1B01"/>
    <w:rsid w:val="00DC239B"/>
    <w:rsid w:val="00DF1D5F"/>
    <w:rsid w:val="00E15C72"/>
    <w:rsid w:val="00E31C2F"/>
    <w:rsid w:val="00E322C2"/>
    <w:rsid w:val="00E42586"/>
    <w:rsid w:val="00E429FE"/>
    <w:rsid w:val="00E93921"/>
    <w:rsid w:val="00EB0DB4"/>
    <w:rsid w:val="00EB1B0A"/>
    <w:rsid w:val="00EB42AB"/>
    <w:rsid w:val="00EC013D"/>
    <w:rsid w:val="00EC4C57"/>
    <w:rsid w:val="00EC62BB"/>
    <w:rsid w:val="00EC7787"/>
    <w:rsid w:val="00EF7ABB"/>
    <w:rsid w:val="00F02050"/>
    <w:rsid w:val="00F319C7"/>
    <w:rsid w:val="00F36908"/>
    <w:rsid w:val="00F42F3F"/>
    <w:rsid w:val="00F61BC7"/>
    <w:rsid w:val="00F63033"/>
    <w:rsid w:val="00F910A0"/>
    <w:rsid w:val="00FA4B1F"/>
    <w:rsid w:val="00FA76C2"/>
    <w:rsid w:val="00FB38DD"/>
    <w:rsid w:val="00FC3A0E"/>
    <w:rsid w:val="00FE0F24"/>
    <w:rsid w:val="00FE1B48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E9BCE"/>
  <w15:chartTrackingRefBased/>
  <w15:docId w15:val="{C2B2C994-FEB0-4AC8-B984-3C3D0FB3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306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03064A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716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716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716A"/>
    <w:rPr>
      <w:rFonts w:ascii="Tahoma" w:hAnsi="Tahoma" w:cs="Tahoma"/>
      <w:sz w:val="16"/>
      <w:szCs w:val="16"/>
      <w:lang w:eastAsia="en-US"/>
    </w:rPr>
  </w:style>
  <w:style w:type="paragraph" w:customStyle="1" w:styleId="FiliacinCOMNI">
    <w:name w:val="Filiación.COMNI"/>
    <w:basedOn w:val="Normale"/>
    <w:rsid w:val="00711972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trike/>
      <w:lang w:val="es-ES_tradnl" w:eastAsia="es-ES"/>
    </w:rPr>
  </w:style>
  <w:style w:type="character" w:styleId="Collegamentoipertestuale">
    <w:name w:val="Hyperlink"/>
    <w:uiPriority w:val="99"/>
    <w:unhideWhenUsed/>
    <w:rsid w:val="00DC1B01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662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mail">
    <w:name w:val="E-mail"/>
    <w:next w:val="Abstract"/>
    <w:rsid w:val="00B029D3"/>
    <w:pPr>
      <w:spacing w:after="240"/>
      <w:ind w:left="1418"/>
    </w:pPr>
    <w:rPr>
      <w:rFonts w:ascii="Times" w:eastAsia="Times New Roman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Normale"/>
    <w:rsid w:val="00B029D3"/>
    <w:pPr>
      <w:spacing w:after="454"/>
      <w:ind w:left="1418"/>
      <w:jc w:val="both"/>
    </w:pPr>
    <w:rPr>
      <w:rFonts w:ascii="Times" w:eastAsia="Times New Roman" w:hAnsi="Times"/>
      <w:color w:val="000000"/>
      <w:lang w:val="en-GB" w:eastAsia="en-US"/>
    </w:rPr>
  </w:style>
  <w:style w:type="paragraph" w:styleId="Titolo">
    <w:name w:val="Title"/>
    <w:basedOn w:val="Normale"/>
    <w:next w:val="Authors"/>
    <w:link w:val="TitoloCarattere"/>
    <w:qFormat/>
    <w:rsid w:val="00B029D3"/>
    <w:pPr>
      <w:spacing w:before="1588" w:after="567" w:line="240" w:lineRule="auto"/>
    </w:pPr>
    <w:rPr>
      <w:rFonts w:ascii="Times" w:eastAsia="Times New Roman" w:hAnsi="Times"/>
      <w:b/>
      <w:sz w:val="34"/>
      <w:szCs w:val="34"/>
      <w:lang w:val="en-GB"/>
    </w:rPr>
  </w:style>
  <w:style w:type="character" w:customStyle="1" w:styleId="TitoloCarattere">
    <w:name w:val="Titolo Carattere"/>
    <w:basedOn w:val="Carpredefinitoparagrafo"/>
    <w:link w:val="Titolo"/>
    <w:rsid w:val="00B029D3"/>
    <w:rPr>
      <w:rFonts w:ascii="Times" w:eastAsia="Times New Roman" w:hAnsi="Times"/>
      <w:b/>
      <w:sz w:val="34"/>
      <w:szCs w:val="34"/>
      <w:lang w:val="en-GB" w:eastAsia="en-US"/>
    </w:rPr>
  </w:style>
  <w:style w:type="paragraph" w:customStyle="1" w:styleId="Authors">
    <w:name w:val="Authors"/>
    <w:next w:val="Addresses"/>
    <w:rsid w:val="00B029D3"/>
    <w:pPr>
      <w:spacing w:after="113"/>
      <w:ind w:left="1418"/>
    </w:pPr>
    <w:rPr>
      <w:rFonts w:ascii="Times" w:eastAsia="Times New Roman" w:hAnsi="Times"/>
      <w:b/>
      <w:sz w:val="22"/>
      <w:szCs w:val="22"/>
      <w:lang w:val="en-GB" w:eastAsia="en-US"/>
    </w:rPr>
  </w:style>
  <w:style w:type="paragraph" w:customStyle="1" w:styleId="Addresses">
    <w:name w:val="Addresses"/>
    <w:next w:val="E-mail"/>
    <w:rsid w:val="00B029D3"/>
    <w:pPr>
      <w:spacing w:after="240"/>
      <w:ind w:left="1418"/>
    </w:pPr>
    <w:rPr>
      <w:rFonts w:ascii="Times" w:eastAsia="Times New Roman" w:hAnsi="Times"/>
      <w:sz w:val="22"/>
      <w:szCs w:val="22"/>
      <w:lang w:val="en-GB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029D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7EA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nhideWhenUsed/>
    <w:qFormat/>
    <w:rsid w:val="00C9288D"/>
    <w:pPr>
      <w:spacing w:before="60" w:after="180" w:line="240" w:lineRule="auto"/>
    </w:pPr>
    <w:rPr>
      <w:rFonts w:ascii="Times New Roman" w:eastAsia="Times New Roman" w:hAnsi="Times New Roman"/>
      <w:b/>
      <w:bCs/>
      <w:i/>
      <w:color w:val="000000"/>
      <w:sz w:val="24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eo.tommasi@unim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4780-2F39-4AE7-A502-57A7FEA0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3177</CharactersWithSpaces>
  <SharedDoc>false</SharedDoc>
  <HLinks>
    <vt:vector size="6" baseType="variant">
      <vt:variant>
        <vt:i4>7274595</vt:i4>
      </vt:variant>
      <vt:variant>
        <vt:i4>0</vt:i4>
      </vt:variant>
      <vt:variant>
        <vt:i4>0</vt:i4>
      </vt:variant>
      <vt:variant>
        <vt:i4>5</vt:i4>
      </vt:variant>
      <vt:variant>
        <vt:lpwstr>http://www.uit2023.it/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cp:lastModifiedBy>Matteo Tommasi</cp:lastModifiedBy>
  <cp:revision>7</cp:revision>
  <cp:lastPrinted>2020-12-16T11:42:00Z</cp:lastPrinted>
  <dcterms:created xsi:type="dcterms:W3CDTF">2025-01-31T15:07:00Z</dcterms:created>
  <dcterms:modified xsi:type="dcterms:W3CDTF">2025-05-30T20:25:00Z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2025-01-31T15:07:32Z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a69f2b28-d36a-44c8-a47b-3d91bf4067c3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50, 3, 0, 1</vt:lpwstr>
  </property>
</Properties>
</file>