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832CE8" w14:textId="61DCC350" w:rsidR="005E4E8C" w:rsidRPr="00AC76CA" w:rsidRDefault="000B0D8E" w:rsidP="000B0D8E">
      <w:pPr>
        <w:spacing w:line="259" w:lineRule="auto"/>
        <w:ind w:right="8"/>
        <w:jc w:val="center"/>
        <w:rPr>
          <w:rFonts w:ascii="Times New Roman" w:hAnsi="Times New Roman" w:cs="Times New Roman"/>
          <w:sz w:val="32"/>
          <w:szCs w:val="36"/>
          <w:lang w:val="en-US"/>
        </w:rPr>
      </w:pPr>
      <w:r w:rsidRPr="000B0D8E">
        <w:rPr>
          <w:rFonts w:ascii="Times New Roman" w:hAnsi="Times New Roman" w:cs="Times New Roman"/>
          <w:b/>
          <w:sz w:val="32"/>
          <w:szCs w:val="36"/>
          <w:lang w:val="en-US"/>
        </w:rPr>
        <w:t xml:space="preserve">Terahertz Technologies </w:t>
      </w:r>
      <w:r>
        <w:rPr>
          <w:rFonts w:ascii="Times New Roman" w:hAnsi="Times New Roman" w:cs="Times New Roman"/>
          <w:b/>
          <w:sz w:val="32"/>
          <w:szCs w:val="36"/>
          <w:lang w:val="en-US"/>
        </w:rPr>
        <w:t>as New Frontier</w:t>
      </w:r>
      <w:r w:rsidR="00844B1D">
        <w:rPr>
          <w:rFonts w:ascii="Times New Roman" w:hAnsi="Times New Roman" w:cs="Times New Roman"/>
          <w:b/>
          <w:sz w:val="32"/>
          <w:szCs w:val="36"/>
          <w:lang w:val="en-US"/>
        </w:rPr>
        <w:t>s</w:t>
      </w:r>
      <w:r>
        <w:rPr>
          <w:rFonts w:ascii="Times New Roman" w:hAnsi="Times New Roman" w:cs="Times New Roman"/>
          <w:b/>
          <w:sz w:val="32"/>
          <w:szCs w:val="36"/>
          <w:lang w:val="en-US"/>
        </w:rPr>
        <w:t xml:space="preserve"> f</w:t>
      </w:r>
      <w:r w:rsidRPr="000B0D8E">
        <w:rPr>
          <w:rFonts w:ascii="Times New Roman" w:hAnsi="Times New Roman" w:cs="Times New Roman"/>
          <w:b/>
          <w:sz w:val="32"/>
          <w:szCs w:val="36"/>
          <w:lang w:val="en-US"/>
        </w:rPr>
        <w:t xml:space="preserve">or </w:t>
      </w:r>
      <w:r>
        <w:rPr>
          <w:rFonts w:ascii="Times New Roman" w:hAnsi="Times New Roman" w:cs="Times New Roman"/>
          <w:b/>
          <w:sz w:val="32"/>
          <w:szCs w:val="36"/>
          <w:lang w:val="en-US"/>
        </w:rPr>
        <w:t>Pathog</w:t>
      </w:r>
      <w:r w:rsidR="00AA6053">
        <w:rPr>
          <w:rFonts w:ascii="Times New Roman" w:hAnsi="Times New Roman" w:cs="Times New Roman"/>
          <w:b/>
          <w:sz w:val="32"/>
          <w:szCs w:val="36"/>
          <w:lang w:val="en-US"/>
        </w:rPr>
        <w:t>enic microorganism</w:t>
      </w:r>
      <w:r>
        <w:rPr>
          <w:rFonts w:ascii="Times New Roman" w:hAnsi="Times New Roman" w:cs="Times New Roman"/>
          <w:b/>
          <w:sz w:val="32"/>
          <w:szCs w:val="36"/>
          <w:lang w:val="en-US"/>
        </w:rPr>
        <w:t xml:space="preserve"> </w:t>
      </w:r>
      <w:r w:rsidRPr="000B0D8E">
        <w:rPr>
          <w:rFonts w:ascii="Times New Roman" w:hAnsi="Times New Roman" w:cs="Times New Roman"/>
          <w:b/>
          <w:sz w:val="32"/>
          <w:szCs w:val="36"/>
          <w:lang w:val="en-US"/>
        </w:rPr>
        <w:t>Sensing:</w:t>
      </w:r>
      <w:r>
        <w:rPr>
          <w:rFonts w:ascii="Times New Roman" w:hAnsi="Times New Roman" w:cs="Times New Roman"/>
          <w:b/>
          <w:sz w:val="32"/>
          <w:szCs w:val="36"/>
          <w:lang w:val="en-US"/>
        </w:rPr>
        <w:t xml:space="preserve"> </w:t>
      </w:r>
      <w:r w:rsidRPr="000B0D8E">
        <w:rPr>
          <w:rFonts w:ascii="Times New Roman" w:hAnsi="Times New Roman" w:cs="Times New Roman"/>
          <w:b/>
          <w:sz w:val="32"/>
          <w:szCs w:val="36"/>
          <w:lang w:val="en-US"/>
        </w:rPr>
        <w:t>Drawbacks</w:t>
      </w:r>
      <w:r>
        <w:rPr>
          <w:rFonts w:ascii="Times New Roman" w:hAnsi="Times New Roman" w:cs="Times New Roman"/>
          <w:b/>
          <w:sz w:val="32"/>
          <w:szCs w:val="36"/>
          <w:lang w:val="en-US"/>
        </w:rPr>
        <w:t>, P</w:t>
      </w:r>
      <w:r w:rsidRPr="000B0D8E">
        <w:rPr>
          <w:rFonts w:ascii="Times New Roman" w:hAnsi="Times New Roman" w:cs="Times New Roman"/>
          <w:b/>
          <w:sz w:val="32"/>
          <w:szCs w:val="36"/>
          <w:lang w:val="en-US"/>
        </w:rPr>
        <w:t>otentialities</w:t>
      </w:r>
      <w:r>
        <w:rPr>
          <w:rFonts w:ascii="Times New Roman" w:hAnsi="Times New Roman" w:cs="Times New Roman"/>
          <w:b/>
          <w:sz w:val="32"/>
          <w:szCs w:val="36"/>
          <w:lang w:val="en-US"/>
        </w:rPr>
        <w:t xml:space="preserve"> and Applications</w:t>
      </w:r>
    </w:p>
    <w:p w14:paraId="545E9E17" w14:textId="67430421" w:rsidR="005E4E8C" w:rsidRPr="00AC76CA" w:rsidRDefault="00000000">
      <w:pPr>
        <w:spacing w:line="259" w:lineRule="auto"/>
        <w:jc w:val="left"/>
        <w:rPr>
          <w:rFonts w:ascii="Times New Roman" w:hAnsi="Times New Roman" w:cs="Times New Roman"/>
          <w:lang w:val="en-US"/>
        </w:rPr>
      </w:pPr>
      <w:r w:rsidRPr="00AC76CA">
        <w:rPr>
          <w:rFonts w:ascii="Times New Roman" w:hAnsi="Times New Roman" w:cs="Times New Roman"/>
          <w:lang w:val="en-US"/>
        </w:rPr>
        <w:t xml:space="preserve"> </w:t>
      </w:r>
    </w:p>
    <w:p w14:paraId="43CE5F12" w14:textId="666BDDFD" w:rsidR="00AC76CA" w:rsidRPr="00877D7D" w:rsidRDefault="00877D7D" w:rsidP="00AC76CA">
      <w:pPr>
        <w:pStyle w:val="MDPI13authornames"/>
        <w:jc w:val="center"/>
        <w:rPr>
          <w:rFonts w:ascii="Times New Roman" w:hAnsi="Times New Roman"/>
          <w:vertAlign w:val="superscript"/>
          <w:lang w:val="it-IT"/>
        </w:rPr>
      </w:pPr>
      <w:r w:rsidRPr="00877D7D">
        <w:rPr>
          <w:rFonts w:ascii="Times New Roman" w:hAnsi="Times New Roman"/>
          <w:lang w:val="it-IT"/>
        </w:rPr>
        <w:t>Annalisa D’Arco</w:t>
      </w:r>
      <w:r w:rsidR="00AC76CA" w:rsidRPr="00877D7D">
        <w:rPr>
          <w:rFonts w:ascii="Times New Roman" w:hAnsi="Times New Roman"/>
          <w:lang w:val="it-IT"/>
        </w:rPr>
        <w:t xml:space="preserve"> </w:t>
      </w:r>
      <w:r w:rsidR="00AC76CA" w:rsidRPr="00877D7D">
        <w:rPr>
          <w:rFonts w:ascii="Times New Roman" w:hAnsi="Times New Roman"/>
          <w:vertAlign w:val="superscript"/>
          <w:lang w:val="it-IT"/>
        </w:rPr>
        <w:t>1</w:t>
      </w:r>
      <w:r>
        <w:rPr>
          <w:rFonts w:ascii="Times New Roman" w:hAnsi="Times New Roman"/>
          <w:vertAlign w:val="superscript"/>
          <w:lang w:val="it-IT"/>
        </w:rPr>
        <w:t>,</w:t>
      </w:r>
      <w:r w:rsidRPr="00877D7D">
        <w:rPr>
          <w:rFonts w:ascii="Times New Roman" w:hAnsi="Times New Roman"/>
          <w:sz w:val="24"/>
          <w:szCs w:val="24"/>
          <w:vertAlign w:val="superscript"/>
          <w:lang w:val="it-IT"/>
        </w:rPr>
        <w:t>*</w:t>
      </w:r>
      <w:r w:rsidR="00AC76CA" w:rsidRPr="00877D7D">
        <w:rPr>
          <w:rFonts w:ascii="Times New Roman" w:hAnsi="Times New Roman"/>
          <w:lang w:val="it-IT"/>
        </w:rPr>
        <w:t xml:space="preserve">, </w:t>
      </w:r>
      <w:r w:rsidRPr="00877D7D">
        <w:rPr>
          <w:rFonts w:ascii="Times New Roman" w:hAnsi="Times New Roman"/>
          <w:lang w:val="it-IT"/>
        </w:rPr>
        <w:t>Salvatore Macis</w:t>
      </w:r>
      <w:r w:rsidRPr="00877D7D">
        <w:rPr>
          <w:rFonts w:ascii="Times New Roman" w:hAnsi="Times New Roman"/>
          <w:vertAlign w:val="superscript"/>
          <w:lang w:val="it-IT"/>
        </w:rPr>
        <w:t>1</w:t>
      </w:r>
      <w:r w:rsidRPr="00877D7D">
        <w:rPr>
          <w:rFonts w:ascii="Times New Roman" w:hAnsi="Times New Roman"/>
          <w:lang w:val="it-IT"/>
        </w:rPr>
        <w:t>, Ti</w:t>
      </w:r>
      <w:r>
        <w:rPr>
          <w:rFonts w:ascii="Times New Roman" w:hAnsi="Times New Roman"/>
          <w:lang w:val="it-IT"/>
        </w:rPr>
        <w:t>ziana Mancini</w:t>
      </w:r>
      <w:r>
        <w:rPr>
          <w:rFonts w:ascii="Times New Roman" w:hAnsi="Times New Roman"/>
          <w:vertAlign w:val="superscript"/>
          <w:lang w:val="it-IT"/>
        </w:rPr>
        <w:t>1</w:t>
      </w:r>
      <w:r>
        <w:rPr>
          <w:rFonts w:ascii="Times New Roman" w:hAnsi="Times New Roman"/>
          <w:lang w:val="it-IT"/>
        </w:rPr>
        <w:t xml:space="preserve"> </w:t>
      </w:r>
      <w:r w:rsidR="00AC76CA" w:rsidRPr="00877D7D">
        <w:rPr>
          <w:rFonts w:ascii="Times New Roman" w:hAnsi="Times New Roman"/>
          <w:lang w:val="it-IT"/>
        </w:rPr>
        <w:t xml:space="preserve">and </w:t>
      </w:r>
      <w:r>
        <w:rPr>
          <w:rFonts w:ascii="Times New Roman" w:hAnsi="Times New Roman"/>
          <w:lang w:val="it-IT"/>
        </w:rPr>
        <w:t>Stefano Lupi</w:t>
      </w:r>
      <w:r>
        <w:rPr>
          <w:rFonts w:ascii="Times New Roman" w:hAnsi="Times New Roman"/>
          <w:vertAlign w:val="superscript"/>
          <w:lang w:val="it-IT"/>
        </w:rPr>
        <w:t>1,2</w:t>
      </w:r>
    </w:p>
    <w:p w14:paraId="66630C05" w14:textId="5265F9E3" w:rsidR="008B618B" w:rsidRDefault="008B618B" w:rsidP="008B618B">
      <w:pPr>
        <w:pStyle w:val="MDPI16affiliation"/>
        <w:ind w:left="1430" w:firstLine="0"/>
        <w:jc w:val="center"/>
        <w:rPr>
          <w:rFonts w:ascii="Times New Roman" w:hAnsi="Times New Roman"/>
        </w:rPr>
      </w:pPr>
      <w:r w:rsidRPr="008B618B">
        <w:rPr>
          <w:rFonts w:ascii="Times New Roman" w:hAnsi="Times New Roman"/>
          <w:vertAlign w:val="superscript"/>
        </w:rPr>
        <w:t>1</w:t>
      </w:r>
      <w:r>
        <w:rPr>
          <w:rFonts w:ascii="Times New Roman" w:hAnsi="Times New Roman"/>
        </w:rPr>
        <w:t xml:space="preserve"> </w:t>
      </w:r>
      <w:r w:rsidR="00877D7D" w:rsidRPr="00877D7D">
        <w:rPr>
          <w:rFonts w:ascii="Times New Roman" w:hAnsi="Times New Roman"/>
        </w:rPr>
        <w:t xml:space="preserve">Department of Physics, Sapienza University, </w:t>
      </w:r>
      <w:proofErr w:type="spellStart"/>
      <w:r w:rsidR="00877D7D" w:rsidRPr="00877D7D">
        <w:rPr>
          <w:rFonts w:ascii="Times New Roman" w:hAnsi="Times New Roman"/>
        </w:rPr>
        <w:t>P.</w:t>
      </w:r>
      <w:r w:rsidR="00877D7D">
        <w:rPr>
          <w:rFonts w:ascii="Times New Roman" w:hAnsi="Times New Roman"/>
        </w:rPr>
        <w:t>le</w:t>
      </w:r>
      <w:proofErr w:type="spellEnd"/>
      <w:r w:rsidR="00877D7D">
        <w:rPr>
          <w:rFonts w:ascii="Times New Roman" w:hAnsi="Times New Roman"/>
        </w:rPr>
        <w:t xml:space="preserve"> A. Moro 2, 00185 Rome, Italy</w:t>
      </w:r>
      <w:r w:rsidR="00AC76CA" w:rsidRPr="00877D7D">
        <w:rPr>
          <w:rFonts w:ascii="Times New Roman" w:hAnsi="Times New Roman"/>
        </w:rPr>
        <w:t xml:space="preserve">; </w:t>
      </w:r>
      <w:hyperlink r:id="rId7" w:history="1">
        <w:r w:rsidR="00877D7D" w:rsidRPr="00704D8E">
          <w:rPr>
            <w:rStyle w:val="Collegamentoipertestuale"/>
            <w:rFonts w:ascii="Times New Roman" w:hAnsi="Times New Roman"/>
          </w:rPr>
          <w:t>annalisa.darco@uniroma1.it</w:t>
        </w:r>
      </w:hyperlink>
      <w:r w:rsidR="00877D7D">
        <w:rPr>
          <w:rFonts w:ascii="Times New Roman" w:hAnsi="Times New Roman"/>
        </w:rPr>
        <w:t xml:space="preserve">, </w:t>
      </w:r>
      <w:hyperlink r:id="rId8" w:history="1">
        <w:r w:rsidR="00877D7D" w:rsidRPr="00704D8E">
          <w:rPr>
            <w:rStyle w:val="Collegamentoipertestuale"/>
            <w:rFonts w:ascii="Times New Roman" w:hAnsi="Times New Roman"/>
          </w:rPr>
          <w:t>salvatore.macis@uniroam1.it</w:t>
        </w:r>
      </w:hyperlink>
      <w:r w:rsidR="00877D7D">
        <w:rPr>
          <w:rFonts w:ascii="Times New Roman" w:hAnsi="Times New Roman"/>
        </w:rPr>
        <w:t xml:space="preserve">, </w:t>
      </w:r>
      <w:hyperlink r:id="rId9" w:history="1">
        <w:r w:rsidR="00877D7D" w:rsidRPr="00704D8E">
          <w:rPr>
            <w:rStyle w:val="Collegamentoipertestuale"/>
            <w:rFonts w:ascii="Times New Roman" w:hAnsi="Times New Roman"/>
          </w:rPr>
          <w:t>tiziana.mancini@uniroma1.it</w:t>
        </w:r>
      </w:hyperlink>
      <w:r w:rsidR="00877D7D">
        <w:rPr>
          <w:rFonts w:ascii="Times New Roman" w:hAnsi="Times New Roman"/>
        </w:rPr>
        <w:t xml:space="preserve">, </w:t>
      </w:r>
      <w:hyperlink r:id="rId10" w:history="1">
        <w:r w:rsidR="00AF4CB2" w:rsidRPr="00F229BA">
          <w:rPr>
            <w:rStyle w:val="Collegamentoipertestuale"/>
            <w:rFonts w:ascii="Times New Roman" w:hAnsi="Times New Roman"/>
          </w:rPr>
          <w:t>stefano.lupi@uniroma1.it</w:t>
        </w:r>
      </w:hyperlink>
    </w:p>
    <w:p w14:paraId="3F0B905B" w14:textId="32FC15F1" w:rsidR="006A6F73" w:rsidRPr="008B618B" w:rsidRDefault="008B618B" w:rsidP="008B618B">
      <w:pPr>
        <w:pStyle w:val="MDPI16affiliation"/>
        <w:ind w:left="1430" w:firstLine="0"/>
        <w:jc w:val="center"/>
        <w:rPr>
          <w:rFonts w:ascii="Times New Roman" w:hAnsi="Times New Roman"/>
        </w:rPr>
      </w:pPr>
      <w:r w:rsidRPr="008B618B">
        <w:rPr>
          <w:rFonts w:ascii="Times New Roman" w:hAnsi="Times New Roman"/>
          <w:vertAlign w:val="superscript"/>
        </w:rPr>
        <w:t>2</w:t>
      </w:r>
      <w:r>
        <w:rPr>
          <w:rFonts w:ascii="Times New Roman" w:hAnsi="Times New Roman"/>
        </w:rPr>
        <w:t xml:space="preserve"> </w:t>
      </w:r>
      <w:r w:rsidR="006A6F73" w:rsidRPr="00AF4CB2">
        <w:rPr>
          <w:rFonts w:ascii="Times New Roman" w:hAnsi="Times New Roman"/>
        </w:rPr>
        <w:t xml:space="preserve">INFN section Rome 1, </w:t>
      </w:r>
      <w:proofErr w:type="spellStart"/>
      <w:r w:rsidR="006A6F73" w:rsidRPr="00AF4CB2">
        <w:rPr>
          <w:rFonts w:ascii="Times New Roman" w:hAnsi="Times New Roman"/>
        </w:rPr>
        <w:t>P.le</w:t>
      </w:r>
      <w:proofErr w:type="spellEnd"/>
      <w:r w:rsidR="006A6F73" w:rsidRPr="00AF4CB2">
        <w:rPr>
          <w:rFonts w:ascii="Times New Roman" w:hAnsi="Times New Roman"/>
        </w:rPr>
        <w:t xml:space="preserve"> A. Moro 2, 00185 Rome, Italy</w:t>
      </w:r>
      <w:r w:rsidR="00AF4CB2">
        <w:rPr>
          <w:rFonts w:ascii="Times New Roman" w:hAnsi="Times New Roman"/>
        </w:rPr>
        <w:t xml:space="preserve"> </w:t>
      </w:r>
      <w:hyperlink r:id="rId11" w:history="1">
        <w:r w:rsidR="00AF4CB2" w:rsidRPr="00F229BA">
          <w:rPr>
            <w:rStyle w:val="Collegamentoipertestuale"/>
            <w:rFonts w:ascii="Times New Roman" w:hAnsi="Times New Roman"/>
          </w:rPr>
          <w:t>stefano.lupi@roma1.infn.it</w:t>
        </w:r>
      </w:hyperlink>
      <w:r w:rsidR="00AF4CB2">
        <w:rPr>
          <w:rFonts w:ascii="Times New Roman" w:hAnsi="Times New Roman"/>
        </w:rPr>
        <w:t xml:space="preserve">  </w:t>
      </w:r>
    </w:p>
    <w:p w14:paraId="2BC751EA" w14:textId="77777777" w:rsidR="00877D7D" w:rsidRPr="00AF4CB2" w:rsidRDefault="00877D7D" w:rsidP="008B618B">
      <w:pPr>
        <w:pStyle w:val="MDPI16affiliation"/>
        <w:ind w:left="1070" w:firstLine="0"/>
        <w:jc w:val="center"/>
        <w:rPr>
          <w:rFonts w:ascii="Times New Roman" w:hAnsi="Times New Roman"/>
        </w:rPr>
      </w:pPr>
    </w:p>
    <w:p w14:paraId="0F7BDD29" w14:textId="483948A2" w:rsidR="00547FF4" w:rsidRPr="00AF4CB2" w:rsidRDefault="00547FF4" w:rsidP="00AC76CA">
      <w:pPr>
        <w:pStyle w:val="MDPI16affiliation"/>
        <w:ind w:left="0" w:firstLine="0"/>
        <w:jc w:val="center"/>
        <w:rPr>
          <w:rFonts w:ascii="Times New Roman" w:hAnsi="Times New Roman"/>
        </w:rPr>
      </w:pPr>
    </w:p>
    <w:p w14:paraId="099E8E51" w14:textId="0653DA6E" w:rsidR="00AA6053" w:rsidRDefault="00AA6053" w:rsidP="00994940">
      <w:pPr>
        <w:pStyle w:val="MDPI31text"/>
        <w:ind w:left="0" w:firstLine="0"/>
        <w:rPr>
          <w:rFonts w:ascii="Times New Roman" w:hAnsi="Times New Roman"/>
          <w:szCs w:val="20"/>
        </w:rPr>
      </w:pPr>
      <w:r>
        <w:rPr>
          <w:rFonts w:ascii="Times New Roman" w:hAnsi="Times New Roman"/>
          <w:szCs w:val="20"/>
        </w:rPr>
        <w:t xml:space="preserve">The </w:t>
      </w:r>
      <w:r w:rsidRPr="00AA6053">
        <w:rPr>
          <w:rFonts w:ascii="Times New Roman" w:hAnsi="Times New Roman"/>
          <w:szCs w:val="20"/>
        </w:rPr>
        <w:t xml:space="preserve">rapid and accurate identification of pathogenic microorganisms </w:t>
      </w:r>
      <w:r w:rsidR="00245F37" w:rsidRPr="00245F37">
        <w:rPr>
          <w:rFonts w:ascii="Times New Roman" w:hAnsi="Times New Roman"/>
          <w:szCs w:val="20"/>
        </w:rPr>
        <w:t>is a topic of great relevance due to its notable importance in all areas related to human life, health and public safety, as also highlighted by recent events</w:t>
      </w:r>
      <w:r w:rsidR="00994940" w:rsidRPr="00994940">
        <w:rPr>
          <w:rFonts w:ascii="Times New Roman" w:hAnsi="Times New Roman"/>
          <w:szCs w:val="20"/>
        </w:rPr>
        <w:t xml:space="preserve"> linked to the SARS-CoV-2 pandemic</w:t>
      </w:r>
      <w:r>
        <w:rPr>
          <w:rFonts w:ascii="Times New Roman" w:hAnsi="Times New Roman"/>
          <w:szCs w:val="20"/>
        </w:rPr>
        <w:t>.</w:t>
      </w:r>
    </w:p>
    <w:p w14:paraId="5C7E6418" w14:textId="50F64E81" w:rsidR="00C217A8" w:rsidRDefault="00616767" w:rsidP="00616767">
      <w:pPr>
        <w:pStyle w:val="MDPI31text"/>
        <w:ind w:left="0" w:firstLine="0"/>
        <w:rPr>
          <w:rFonts w:ascii="Times New Roman" w:hAnsi="Times New Roman"/>
          <w:szCs w:val="20"/>
        </w:rPr>
      </w:pPr>
      <w:r w:rsidRPr="00616767">
        <w:rPr>
          <w:rFonts w:ascii="Times New Roman" w:hAnsi="Times New Roman"/>
          <w:szCs w:val="20"/>
        </w:rPr>
        <w:t>In the field of public health, the need for deployable tools for adequate, rapid and effective recognition on a large scale is of particular importance for the prevention and treatment of serious infectious diseases, and at the same time to prepare effective medical treatments and clinical therapies. Furthermore, in the field of food quality, food and water are potential sources of bacterial proliferation due to incorrect packaging and storage procedures, so accurate controls are necessary to guarantee product safety.</w:t>
      </w:r>
    </w:p>
    <w:p w14:paraId="0CCEE9E8" w14:textId="1728975E" w:rsidR="0013350A" w:rsidRDefault="0013350A" w:rsidP="007A378F">
      <w:pPr>
        <w:pStyle w:val="MDPI31text"/>
        <w:ind w:left="0" w:firstLine="0"/>
        <w:rPr>
          <w:rFonts w:ascii="Times New Roman" w:hAnsi="Times New Roman"/>
          <w:szCs w:val="20"/>
        </w:rPr>
      </w:pPr>
      <w:r w:rsidRPr="0013350A">
        <w:rPr>
          <w:rFonts w:ascii="Times New Roman" w:hAnsi="Times New Roman"/>
          <w:szCs w:val="20"/>
        </w:rPr>
        <w:t>Currently, gold standards include conventional techniques based primarily on cell culture methods and molecular and/or biochemical recognitions, particularly for microbial pathogens, and molecular and immunological techniques for viral pathogens. They present some drawbacks regarding sensitivity, safety, laboriousness, long-term collection and analysis of data [</w:t>
      </w:r>
      <w:r w:rsidR="00F511FF">
        <w:rPr>
          <w:rFonts w:ascii="Times New Roman" w:hAnsi="Times New Roman"/>
          <w:szCs w:val="20"/>
        </w:rPr>
        <w:t>1-4</w:t>
      </w:r>
      <w:r w:rsidRPr="0013350A">
        <w:rPr>
          <w:rFonts w:ascii="Times New Roman" w:hAnsi="Times New Roman"/>
          <w:szCs w:val="20"/>
        </w:rPr>
        <w:t>]. Therefore, since these methods are still limited, it is necessary to find new, precise and highly sensitive alternative solutions. Numerous biosensor platforms have been suggested to address these shortcomings, using electrical, mechanical, optical, and plasmonic approaches.</w:t>
      </w:r>
      <w:r>
        <w:rPr>
          <w:rFonts w:ascii="Times New Roman" w:hAnsi="Times New Roman"/>
          <w:szCs w:val="20"/>
        </w:rPr>
        <w:t xml:space="preserve"> </w:t>
      </w:r>
      <w:r w:rsidRPr="0013350A">
        <w:rPr>
          <w:rFonts w:ascii="Times New Roman" w:hAnsi="Times New Roman"/>
          <w:szCs w:val="20"/>
        </w:rPr>
        <w:t>They are all promising applications suitable for laboratory and clinical/medical investigations, with high potential for compact, portable, real-time and label-free detection. Among these different kinds of approaches, biosensor platforms based on optical sensing have gained considerable attention, such as THz spectroscopy, also in combination with THz nano- and metamaterials.</w:t>
      </w:r>
    </w:p>
    <w:p w14:paraId="0AE4FC33" w14:textId="00222A7D" w:rsidR="008D5C27" w:rsidRDefault="00964CE0" w:rsidP="00964CE0">
      <w:pPr>
        <w:pStyle w:val="MDPI31text"/>
        <w:ind w:left="0" w:firstLine="0"/>
        <w:rPr>
          <w:rFonts w:ascii="Times New Roman" w:hAnsi="Times New Roman"/>
          <w:szCs w:val="20"/>
        </w:rPr>
      </w:pPr>
      <w:r w:rsidRPr="00964CE0">
        <w:rPr>
          <w:rFonts w:ascii="Times New Roman" w:hAnsi="Times New Roman"/>
          <w:szCs w:val="20"/>
        </w:rPr>
        <w:t>Despite the extensive and well-established attention paid to the microwave, infrared and visible regions, the small THz gap between microwave and infrared (0.1-10 THz, 3-330 cm</w:t>
      </w:r>
      <w:r w:rsidRPr="00A75611">
        <w:rPr>
          <w:rFonts w:ascii="Times New Roman" w:hAnsi="Times New Roman"/>
          <w:szCs w:val="20"/>
          <w:vertAlign w:val="superscript"/>
        </w:rPr>
        <w:t>−1</w:t>
      </w:r>
      <w:r w:rsidRPr="00964CE0">
        <w:rPr>
          <w:rFonts w:ascii="Times New Roman" w:hAnsi="Times New Roman"/>
          <w:szCs w:val="20"/>
        </w:rPr>
        <w:t xml:space="preserve">, 30 </w:t>
      </w:r>
      <w:r w:rsidR="00A75611">
        <w:rPr>
          <w:rFonts w:ascii="Times New Roman" w:hAnsi="Times New Roman"/>
          <w:szCs w:val="20"/>
        </w:rPr>
        <w:t>-</w:t>
      </w:r>
      <w:r w:rsidRPr="00964CE0">
        <w:rPr>
          <w:rFonts w:ascii="Times New Roman" w:hAnsi="Times New Roman"/>
          <w:szCs w:val="20"/>
        </w:rPr>
        <w:t xml:space="preserve"> 3000 </w:t>
      </w:r>
      <w:proofErr w:type="spellStart"/>
      <w:r w:rsidRPr="00964CE0">
        <w:rPr>
          <w:rFonts w:ascii="Times New Roman" w:hAnsi="Times New Roman"/>
          <w:szCs w:val="20"/>
        </w:rPr>
        <w:t>μm</w:t>
      </w:r>
      <w:proofErr w:type="spellEnd"/>
      <w:r w:rsidRPr="00964CE0">
        <w:rPr>
          <w:rFonts w:ascii="Times New Roman" w:hAnsi="Times New Roman"/>
          <w:szCs w:val="20"/>
        </w:rPr>
        <w:t>) has long been ignored due to its technological difficulties in generation and detection. In recent years, the THz region has undergone a technological renaissance driven by improvements in sources, detector responses and the availability of new materials with a strong THz response [</w:t>
      </w:r>
      <w:r w:rsidR="00F511FF">
        <w:rPr>
          <w:rFonts w:ascii="Times New Roman" w:hAnsi="Times New Roman"/>
          <w:szCs w:val="20"/>
        </w:rPr>
        <w:t>2,4</w:t>
      </w:r>
      <w:r w:rsidR="005730AA">
        <w:rPr>
          <w:rFonts w:ascii="Times New Roman" w:hAnsi="Times New Roman"/>
          <w:szCs w:val="20"/>
        </w:rPr>
        <w:t>-19</w:t>
      </w:r>
      <w:r w:rsidRPr="00964CE0">
        <w:rPr>
          <w:rFonts w:ascii="Times New Roman" w:hAnsi="Times New Roman"/>
          <w:szCs w:val="20"/>
        </w:rPr>
        <w:t>]; promot</w:t>
      </w:r>
      <w:r>
        <w:rPr>
          <w:rFonts w:ascii="Times New Roman" w:hAnsi="Times New Roman"/>
          <w:szCs w:val="20"/>
        </w:rPr>
        <w:t>ing</w:t>
      </w:r>
      <w:r w:rsidRPr="00964CE0">
        <w:rPr>
          <w:rFonts w:ascii="Times New Roman" w:hAnsi="Times New Roman"/>
          <w:szCs w:val="20"/>
        </w:rPr>
        <w:t xml:space="preserve"> and accelerat</w:t>
      </w:r>
      <w:r>
        <w:rPr>
          <w:rFonts w:ascii="Times New Roman" w:hAnsi="Times New Roman"/>
          <w:szCs w:val="20"/>
        </w:rPr>
        <w:t>ing</w:t>
      </w:r>
      <w:r w:rsidRPr="00964CE0">
        <w:rPr>
          <w:rFonts w:ascii="Times New Roman" w:hAnsi="Times New Roman"/>
          <w:szCs w:val="20"/>
        </w:rPr>
        <w:t xml:space="preserve"> the diffusion of THz technologies in several fields of scientific application, including pathogen</w:t>
      </w:r>
      <w:r>
        <w:rPr>
          <w:rFonts w:ascii="Times New Roman" w:hAnsi="Times New Roman"/>
          <w:szCs w:val="20"/>
        </w:rPr>
        <w:t xml:space="preserve">ic microorganism sensing </w:t>
      </w:r>
      <w:r w:rsidRPr="00964CE0">
        <w:rPr>
          <w:rFonts w:ascii="Times New Roman" w:hAnsi="Times New Roman"/>
          <w:szCs w:val="20"/>
        </w:rPr>
        <w:t>[</w:t>
      </w:r>
      <w:r w:rsidR="005730AA">
        <w:rPr>
          <w:rFonts w:ascii="Times New Roman" w:hAnsi="Times New Roman"/>
          <w:szCs w:val="20"/>
        </w:rPr>
        <w:t>1,2,4,18,20</w:t>
      </w:r>
      <w:r w:rsidRPr="00964CE0">
        <w:rPr>
          <w:rFonts w:ascii="Times New Roman" w:hAnsi="Times New Roman"/>
          <w:szCs w:val="20"/>
        </w:rPr>
        <w:t>].</w:t>
      </w:r>
    </w:p>
    <w:p w14:paraId="025C93DD" w14:textId="77777777" w:rsidR="00964CE0" w:rsidRPr="008D5C27" w:rsidRDefault="00964CE0" w:rsidP="00964CE0">
      <w:pPr>
        <w:pStyle w:val="MDPI31text"/>
        <w:ind w:left="0" w:firstLine="0"/>
        <w:rPr>
          <w:rFonts w:ascii="Times New Roman" w:hAnsi="Times New Roman"/>
          <w:szCs w:val="20"/>
        </w:rPr>
      </w:pPr>
    </w:p>
    <w:p w14:paraId="0DABF4F1" w14:textId="5840AD39" w:rsidR="008D5C27" w:rsidRDefault="00AC3FEE" w:rsidP="009C659C">
      <w:pPr>
        <w:pStyle w:val="MDPI31text"/>
        <w:ind w:left="0" w:firstLine="0"/>
        <w:rPr>
          <w:rFonts w:ascii="Times New Roman" w:hAnsi="Times New Roman"/>
          <w:szCs w:val="20"/>
        </w:rPr>
      </w:pPr>
      <w:r w:rsidRPr="00AC3FEE">
        <w:rPr>
          <w:rFonts w:ascii="Times New Roman" w:hAnsi="Times New Roman"/>
          <w:szCs w:val="20"/>
        </w:rPr>
        <w:t xml:space="preserve">In the context of biomedical and biochemical applications, THz radiation (4 </w:t>
      </w:r>
      <w:proofErr w:type="spellStart"/>
      <w:r w:rsidRPr="00AC3FEE">
        <w:rPr>
          <w:rFonts w:ascii="Times New Roman" w:hAnsi="Times New Roman"/>
          <w:szCs w:val="20"/>
        </w:rPr>
        <w:t>meV</w:t>
      </w:r>
      <w:proofErr w:type="spellEnd"/>
      <w:r w:rsidRPr="00AC3FEE">
        <w:rPr>
          <w:rFonts w:ascii="Times New Roman" w:hAnsi="Times New Roman"/>
          <w:szCs w:val="20"/>
        </w:rPr>
        <w:t xml:space="preserve"> </w:t>
      </w:r>
      <w:r>
        <w:rPr>
          <w:rFonts w:ascii="Times New Roman" w:hAnsi="Times New Roman"/>
          <w:szCs w:val="20"/>
        </w:rPr>
        <w:t>@</w:t>
      </w:r>
      <w:r w:rsidRPr="00AC3FEE">
        <w:rPr>
          <w:rFonts w:ascii="Times New Roman" w:hAnsi="Times New Roman"/>
          <w:szCs w:val="20"/>
        </w:rPr>
        <w:t xml:space="preserve"> 1 THz) is largely interesting because its low photonic energy (incapable of heating materials or inducing the ionization of atoms/molecules), provides non-destructive and non-ionizing</w:t>
      </w:r>
      <w:r>
        <w:rPr>
          <w:rFonts w:ascii="Times New Roman" w:hAnsi="Times New Roman"/>
          <w:szCs w:val="20"/>
        </w:rPr>
        <w:t xml:space="preserve"> detection</w:t>
      </w:r>
      <w:r w:rsidRPr="00AC3FEE">
        <w:rPr>
          <w:rFonts w:ascii="Times New Roman" w:hAnsi="Times New Roman"/>
          <w:szCs w:val="20"/>
        </w:rPr>
        <w:t>, in contrast to other optical techniques, including ultraviolet or X-rays, where high-energy photons (&gt;&gt;eV) cause direct biological damage on the sample</w:t>
      </w:r>
      <w:r w:rsidR="005730AA">
        <w:rPr>
          <w:rFonts w:ascii="Times New Roman" w:hAnsi="Times New Roman"/>
          <w:szCs w:val="20"/>
        </w:rPr>
        <w:t xml:space="preserve"> [18,21]</w:t>
      </w:r>
      <w:r w:rsidRPr="00AC3FEE">
        <w:rPr>
          <w:rFonts w:ascii="Times New Roman" w:hAnsi="Times New Roman"/>
          <w:szCs w:val="20"/>
        </w:rPr>
        <w:t>. Furthermore, rotational and vibrational molecular modes and intermolecular vibrations, such as hydrogen bonds, typically dominate the THz frequency region</w:t>
      </w:r>
      <w:r w:rsidR="005730AA">
        <w:rPr>
          <w:rFonts w:ascii="Times New Roman" w:hAnsi="Times New Roman"/>
          <w:szCs w:val="20"/>
        </w:rPr>
        <w:t xml:space="preserve"> [1,18]</w:t>
      </w:r>
      <w:r w:rsidRPr="00AC3FEE">
        <w:rPr>
          <w:rFonts w:ascii="Times New Roman" w:hAnsi="Times New Roman"/>
          <w:szCs w:val="20"/>
        </w:rPr>
        <w:t>. Therefore, THz techniques directly identify the spectral properties of the material and offer chemical specificity to imaging experiments</w:t>
      </w:r>
      <w:r w:rsidR="002D3F98">
        <w:rPr>
          <w:rFonts w:ascii="Times New Roman" w:hAnsi="Times New Roman"/>
          <w:szCs w:val="20"/>
        </w:rPr>
        <w:t xml:space="preserve"> [18,19]</w:t>
      </w:r>
      <w:r w:rsidRPr="00AC3FEE">
        <w:rPr>
          <w:rFonts w:ascii="Times New Roman" w:hAnsi="Times New Roman"/>
          <w:szCs w:val="20"/>
        </w:rPr>
        <w:t>, which can be performed efficiently in label-free and non-contact modes. On the other hand, high sensitivity to water and low spatial resolution (around 100 µm) are the main disadvantages of THz radiation.</w:t>
      </w:r>
      <w:r w:rsidR="004A7E4A">
        <w:rPr>
          <w:rFonts w:ascii="Times New Roman" w:hAnsi="Times New Roman"/>
          <w:szCs w:val="20"/>
        </w:rPr>
        <w:t xml:space="preserve"> </w:t>
      </w:r>
      <w:r w:rsidR="009C659C" w:rsidRPr="009C659C">
        <w:rPr>
          <w:rFonts w:ascii="Times New Roman" w:hAnsi="Times New Roman"/>
          <w:szCs w:val="20"/>
        </w:rPr>
        <w:t>The extreme</w:t>
      </w:r>
      <w:r w:rsidR="009C659C">
        <w:rPr>
          <w:rFonts w:ascii="Times New Roman" w:hAnsi="Times New Roman"/>
          <w:szCs w:val="20"/>
        </w:rPr>
        <w:t xml:space="preserve"> </w:t>
      </w:r>
      <w:r w:rsidR="009C659C" w:rsidRPr="009C659C">
        <w:rPr>
          <w:rFonts w:ascii="Times New Roman" w:hAnsi="Times New Roman"/>
          <w:szCs w:val="20"/>
        </w:rPr>
        <w:t>sensitivity of THz radiation to polar molecules, specifically water, restricts</w:t>
      </w:r>
      <w:r w:rsidR="009C659C">
        <w:rPr>
          <w:rFonts w:ascii="Times New Roman" w:hAnsi="Times New Roman"/>
          <w:szCs w:val="20"/>
        </w:rPr>
        <w:t xml:space="preserve"> </w:t>
      </w:r>
      <w:r w:rsidR="009C659C" w:rsidRPr="009C659C">
        <w:rPr>
          <w:rFonts w:ascii="Times New Roman" w:hAnsi="Times New Roman"/>
          <w:szCs w:val="20"/>
        </w:rPr>
        <w:t>the THz waves penetrability from tens to hundred microns in hydrated</w:t>
      </w:r>
      <w:r w:rsidR="009C659C">
        <w:rPr>
          <w:rFonts w:ascii="Times New Roman" w:hAnsi="Times New Roman"/>
          <w:szCs w:val="20"/>
        </w:rPr>
        <w:t xml:space="preserve"> </w:t>
      </w:r>
      <w:r w:rsidR="009C659C" w:rsidRPr="009C659C">
        <w:rPr>
          <w:rFonts w:ascii="Times New Roman" w:hAnsi="Times New Roman"/>
          <w:szCs w:val="20"/>
        </w:rPr>
        <w:t>samples, preventing wide technological spread in biological fields</w:t>
      </w:r>
      <w:r w:rsidR="002E7DD4">
        <w:rPr>
          <w:rFonts w:ascii="Times New Roman" w:hAnsi="Times New Roman"/>
          <w:szCs w:val="20"/>
        </w:rPr>
        <w:t xml:space="preserve"> [</w:t>
      </w:r>
      <w:r w:rsidR="005730AA">
        <w:rPr>
          <w:rFonts w:ascii="Times New Roman" w:hAnsi="Times New Roman"/>
          <w:szCs w:val="20"/>
        </w:rPr>
        <w:t>1,2,4,</w:t>
      </w:r>
      <w:r w:rsidR="002D3F98">
        <w:rPr>
          <w:rFonts w:ascii="Times New Roman" w:hAnsi="Times New Roman"/>
          <w:szCs w:val="20"/>
        </w:rPr>
        <w:t>18,20</w:t>
      </w:r>
      <w:r w:rsidR="002E7DD4">
        <w:rPr>
          <w:rFonts w:ascii="Times New Roman" w:hAnsi="Times New Roman"/>
          <w:szCs w:val="20"/>
        </w:rPr>
        <w:t>]</w:t>
      </w:r>
      <w:r w:rsidR="009C659C" w:rsidRPr="009C659C">
        <w:rPr>
          <w:rFonts w:ascii="Times New Roman" w:hAnsi="Times New Roman"/>
          <w:szCs w:val="20"/>
        </w:rPr>
        <w:t xml:space="preserve">. </w:t>
      </w:r>
      <w:r w:rsidR="00DF36F2">
        <w:rPr>
          <w:rFonts w:ascii="Times New Roman" w:hAnsi="Times New Roman"/>
          <w:szCs w:val="20"/>
        </w:rPr>
        <w:t xml:space="preserve"> </w:t>
      </w:r>
      <w:r w:rsidR="009C659C" w:rsidRPr="009C659C">
        <w:rPr>
          <w:rFonts w:ascii="Times New Roman" w:hAnsi="Times New Roman"/>
          <w:szCs w:val="20"/>
        </w:rPr>
        <w:t>Referring to THz spectroscopy, many layouts and materials are used</w:t>
      </w:r>
      <w:r w:rsidR="009C659C">
        <w:rPr>
          <w:rFonts w:ascii="Times New Roman" w:hAnsi="Times New Roman"/>
          <w:szCs w:val="20"/>
        </w:rPr>
        <w:t xml:space="preserve"> </w:t>
      </w:r>
      <w:r w:rsidR="009C659C" w:rsidRPr="009C659C">
        <w:rPr>
          <w:rFonts w:ascii="Times New Roman" w:hAnsi="Times New Roman"/>
          <w:szCs w:val="20"/>
        </w:rPr>
        <w:t>for THz signal collection, showing high performance in terms of the signal-to</w:t>
      </w:r>
      <w:r w:rsidR="009C659C">
        <w:rPr>
          <w:rFonts w:ascii="Times New Roman" w:hAnsi="Times New Roman"/>
          <w:szCs w:val="20"/>
        </w:rPr>
        <w:t>-</w:t>
      </w:r>
      <w:r w:rsidR="009C659C" w:rsidRPr="009C659C">
        <w:rPr>
          <w:rFonts w:ascii="Times New Roman" w:hAnsi="Times New Roman"/>
          <w:szCs w:val="20"/>
        </w:rPr>
        <w:t>noise</w:t>
      </w:r>
      <w:r w:rsidR="009C659C">
        <w:rPr>
          <w:rFonts w:ascii="Times New Roman" w:hAnsi="Times New Roman"/>
          <w:szCs w:val="20"/>
        </w:rPr>
        <w:t xml:space="preserve"> </w:t>
      </w:r>
      <w:r w:rsidR="009C659C" w:rsidRPr="009C659C">
        <w:rPr>
          <w:rFonts w:ascii="Times New Roman" w:hAnsi="Times New Roman"/>
          <w:szCs w:val="20"/>
        </w:rPr>
        <w:t xml:space="preserve">ratio (SNR) and coherent detection mode. </w:t>
      </w:r>
    </w:p>
    <w:p w14:paraId="64C8486B" w14:textId="77777777" w:rsidR="00DF36F2" w:rsidRDefault="00DF36F2" w:rsidP="009C659C">
      <w:pPr>
        <w:pStyle w:val="MDPI31text"/>
        <w:ind w:left="0" w:firstLine="0"/>
        <w:rPr>
          <w:rFonts w:ascii="Times New Roman" w:hAnsi="Times New Roman"/>
          <w:szCs w:val="20"/>
        </w:rPr>
      </w:pPr>
    </w:p>
    <w:p w14:paraId="419754E1" w14:textId="7133E61B" w:rsidR="00276074" w:rsidRDefault="004A7E4A" w:rsidP="00DF36F2">
      <w:pPr>
        <w:pStyle w:val="MDPI31text"/>
        <w:ind w:left="0" w:firstLine="0"/>
        <w:rPr>
          <w:rFonts w:ascii="Times New Roman" w:hAnsi="Times New Roman"/>
          <w:szCs w:val="20"/>
        </w:rPr>
      </w:pPr>
      <w:r w:rsidRPr="004A7E4A">
        <w:rPr>
          <w:rFonts w:ascii="Times New Roman" w:hAnsi="Times New Roman"/>
          <w:szCs w:val="20"/>
        </w:rPr>
        <w:t xml:space="preserve">Interestingly, we used our transmission-mode THz time-domain spectroscopy (THz-TDS) system, detailed in Figure 1, to evaluate the response of bio-signatures of the desert cyanobacterium </w:t>
      </w:r>
      <w:proofErr w:type="spellStart"/>
      <w:r w:rsidRPr="004A7E4A">
        <w:rPr>
          <w:rFonts w:ascii="Times New Roman" w:hAnsi="Times New Roman"/>
          <w:szCs w:val="20"/>
        </w:rPr>
        <w:t>Chroococcidiopsis</w:t>
      </w:r>
      <w:proofErr w:type="spellEnd"/>
      <w:r w:rsidRPr="004A7E4A">
        <w:rPr>
          <w:rFonts w:ascii="Times New Roman" w:hAnsi="Times New Roman"/>
          <w:szCs w:val="20"/>
        </w:rPr>
        <w:t xml:space="preserve"> (CCMEE 057), subjected to strong ionizing ion irradiation during the STARLIFE irradiation campaign. In this application, we studied the dielectric properties of dried films of cyanobacteria, previously exposed to increasing doses of X-rays.</w:t>
      </w:r>
      <w:r>
        <w:rPr>
          <w:rFonts w:ascii="Times New Roman" w:hAnsi="Times New Roman"/>
          <w:szCs w:val="20"/>
        </w:rPr>
        <w:t xml:space="preserve"> </w:t>
      </w:r>
      <w:r w:rsidRPr="004A7E4A">
        <w:rPr>
          <w:rFonts w:ascii="Times New Roman" w:hAnsi="Times New Roman"/>
          <w:szCs w:val="20"/>
        </w:rPr>
        <w:t>By measuring both the amplitudes and phases of THz electric fields transmitted through the microbial samples, we extracted dielectric properties, including absorbance and refractive index of microbial films, using effective medium theory, specifically the Bruggeman model</w:t>
      </w:r>
      <w:r>
        <w:rPr>
          <w:rFonts w:ascii="Times New Roman" w:hAnsi="Times New Roman"/>
          <w:szCs w:val="20"/>
        </w:rPr>
        <w:t>.</w:t>
      </w:r>
    </w:p>
    <w:p w14:paraId="7CCB1F7E" w14:textId="2D0BA1B8" w:rsidR="001A6A66" w:rsidRDefault="008D262C" w:rsidP="001A6A66">
      <w:pPr>
        <w:pStyle w:val="MDPI31text"/>
        <w:ind w:left="0" w:firstLine="0"/>
        <w:jc w:val="center"/>
        <w:rPr>
          <w:rFonts w:ascii="Times New Roman" w:hAnsi="Times New Roman"/>
          <w:szCs w:val="20"/>
        </w:rPr>
      </w:pPr>
      <w:r>
        <w:rPr>
          <w:rFonts w:ascii="Times New Roman" w:hAnsi="Times New Roman"/>
          <w:noProof/>
          <w:szCs w:val="20"/>
        </w:rPr>
        <w:lastRenderedPageBreak/>
        <w:drawing>
          <wp:inline distT="0" distB="0" distL="0" distR="0" wp14:anchorId="0505A86A" wp14:editId="66465A6B">
            <wp:extent cx="4874853" cy="2822484"/>
            <wp:effectExtent l="0" t="0" r="0" b="0"/>
            <wp:docPr id="166009144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87920" cy="2830049"/>
                    </a:xfrm>
                    <a:prstGeom prst="rect">
                      <a:avLst/>
                    </a:prstGeom>
                    <a:noFill/>
                  </pic:spPr>
                </pic:pic>
              </a:graphicData>
            </a:graphic>
          </wp:inline>
        </w:drawing>
      </w:r>
    </w:p>
    <w:p w14:paraId="384250AF" w14:textId="77777777" w:rsidR="001A6A66" w:rsidRDefault="001A6A66" w:rsidP="001A6A66">
      <w:pPr>
        <w:pStyle w:val="MDPI31text"/>
        <w:ind w:left="0" w:firstLine="0"/>
        <w:jc w:val="center"/>
        <w:rPr>
          <w:rFonts w:ascii="Times New Roman" w:hAnsi="Times New Roman"/>
          <w:szCs w:val="20"/>
        </w:rPr>
      </w:pPr>
    </w:p>
    <w:p w14:paraId="5ACF676D" w14:textId="4AD45668" w:rsidR="001A6A66" w:rsidRPr="001A6A66" w:rsidRDefault="001A6A66" w:rsidP="001A6A66">
      <w:pPr>
        <w:pStyle w:val="MDPI51figurecaption"/>
        <w:ind w:left="0"/>
        <w:jc w:val="center"/>
        <w:rPr>
          <w:rFonts w:ascii="Times New Roman" w:hAnsi="Times New Roman"/>
          <w:bCs/>
          <w:sz w:val="20"/>
        </w:rPr>
      </w:pPr>
      <w:bookmarkStart w:id="0" w:name="_Hlk155110741"/>
      <w:r w:rsidRPr="00AC76CA">
        <w:rPr>
          <w:rFonts w:ascii="Times New Roman" w:hAnsi="Times New Roman"/>
          <w:b/>
          <w:sz w:val="20"/>
        </w:rPr>
        <w:t xml:space="preserve">Figure 1. </w:t>
      </w:r>
      <w:r w:rsidRPr="001A6A66">
        <w:rPr>
          <w:rFonts w:ascii="Times New Roman" w:hAnsi="Times New Roman"/>
          <w:bCs/>
          <w:sz w:val="20"/>
        </w:rPr>
        <w:t>Schematic layout of THz-TDS setup in transmission mode based on switched photoconductive antennas (PCAs)</w:t>
      </w:r>
      <w:r w:rsidR="009D476F">
        <w:rPr>
          <w:rFonts w:ascii="Times New Roman" w:hAnsi="Times New Roman"/>
          <w:bCs/>
          <w:sz w:val="20"/>
        </w:rPr>
        <w:t>, available at Dept. of Physics, Sapienza University</w:t>
      </w:r>
      <w:r w:rsidRPr="001A6A66">
        <w:rPr>
          <w:rFonts w:ascii="Times New Roman" w:hAnsi="Times New Roman"/>
          <w:bCs/>
          <w:sz w:val="20"/>
        </w:rPr>
        <w:t xml:space="preserve">. A femtosecond </w:t>
      </w:r>
      <w:bookmarkEnd w:id="0"/>
      <w:r w:rsidRPr="001A6A66">
        <w:rPr>
          <w:rFonts w:ascii="Times New Roman" w:hAnsi="Times New Roman"/>
          <w:bCs/>
          <w:sz w:val="20"/>
        </w:rPr>
        <w:t>near-IR (NIR) laser beam is divided in two parts by a beam splitter. Some mirrors (M) convey the laser beams to the THz emitter and receiver, where they are focused by a NIR lens. Here the THz beam is produced and detected, respectively. A stack of transparent THz lenses collimates</w:t>
      </w:r>
      <w:r>
        <w:rPr>
          <w:rFonts w:ascii="Times New Roman" w:hAnsi="Times New Roman"/>
          <w:bCs/>
          <w:sz w:val="20"/>
        </w:rPr>
        <w:t xml:space="preserve"> </w:t>
      </w:r>
      <w:r w:rsidRPr="001A6A66">
        <w:rPr>
          <w:rFonts w:ascii="Times New Roman" w:hAnsi="Times New Roman"/>
          <w:bCs/>
          <w:sz w:val="20"/>
        </w:rPr>
        <w:t xml:space="preserve">and focuses THz radiation along the path and a </w:t>
      </w:r>
      <w:r w:rsidR="008D262C">
        <w:rPr>
          <w:rFonts w:ascii="Times New Roman" w:hAnsi="Times New Roman"/>
          <w:bCs/>
          <w:sz w:val="20"/>
        </w:rPr>
        <w:t>sample holder</w:t>
      </w:r>
      <w:r w:rsidRPr="001A6A66">
        <w:rPr>
          <w:rFonts w:ascii="Times New Roman" w:hAnsi="Times New Roman"/>
          <w:bCs/>
          <w:sz w:val="20"/>
        </w:rPr>
        <w:t xml:space="preserve"> is inserted into the THz propagation region. The acquisition chain consists of a Lock-in amplifier (LIA), a data acquisition card (DAQ) and a personal computer for data collection and analysis. The optical delay line is used to sample the THz pulse in the time domain.</w:t>
      </w:r>
      <w:r w:rsidR="00D66CF3">
        <w:rPr>
          <w:rFonts w:ascii="Times New Roman" w:hAnsi="Times New Roman"/>
          <w:bCs/>
          <w:sz w:val="20"/>
        </w:rPr>
        <w:t>[10]</w:t>
      </w:r>
    </w:p>
    <w:p w14:paraId="4AEF8ED9" w14:textId="77777777" w:rsidR="00276074" w:rsidRDefault="00276074" w:rsidP="00DF36F2">
      <w:pPr>
        <w:pStyle w:val="MDPI31text"/>
        <w:ind w:left="0" w:firstLine="0"/>
        <w:rPr>
          <w:rFonts w:ascii="Times New Roman" w:hAnsi="Times New Roman"/>
          <w:szCs w:val="20"/>
        </w:rPr>
      </w:pPr>
    </w:p>
    <w:p w14:paraId="32F87AF4" w14:textId="18735B3B" w:rsidR="009D476F" w:rsidRDefault="009D476F" w:rsidP="00DF36F2">
      <w:pPr>
        <w:pStyle w:val="MDPI31text"/>
        <w:ind w:left="0" w:firstLine="0"/>
        <w:rPr>
          <w:rFonts w:ascii="Times New Roman" w:hAnsi="Times New Roman"/>
          <w:szCs w:val="20"/>
        </w:rPr>
      </w:pPr>
      <w:r w:rsidRPr="009D476F">
        <w:rPr>
          <w:rFonts w:ascii="Times New Roman" w:hAnsi="Times New Roman"/>
          <w:szCs w:val="20"/>
        </w:rPr>
        <w:t xml:space="preserve"> </w:t>
      </w:r>
      <w:r>
        <w:rPr>
          <w:rFonts w:ascii="Times New Roman" w:hAnsi="Times New Roman"/>
          <w:noProof/>
          <w:szCs w:val="20"/>
        </w:rPr>
        <w:drawing>
          <wp:inline distT="0" distB="0" distL="0" distR="0" wp14:anchorId="4AB199B6" wp14:editId="69961FDD">
            <wp:extent cx="5883113" cy="1661213"/>
            <wp:effectExtent l="0" t="0" r="3810" b="0"/>
            <wp:docPr id="135099572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08300" cy="1668325"/>
                    </a:xfrm>
                    <a:prstGeom prst="rect">
                      <a:avLst/>
                    </a:prstGeom>
                    <a:noFill/>
                  </pic:spPr>
                </pic:pic>
              </a:graphicData>
            </a:graphic>
          </wp:inline>
        </w:drawing>
      </w:r>
    </w:p>
    <w:p w14:paraId="6E1C9043" w14:textId="77777777" w:rsidR="009D476F" w:rsidRDefault="009D476F" w:rsidP="00DF36F2">
      <w:pPr>
        <w:pStyle w:val="MDPI31text"/>
        <w:ind w:left="0" w:firstLine="0"/>
        <w:rPr>
          <w:rFonts w:ascii="Times New Roman" w:hAnsi="Times New Roman"/>
          <w:szCs w:val="20"/>
        </w:rPr>
      </w:pPr>
    </w:p>
    <w:p w14:paraId="5C4A8F9C" w14:textId="77777777" w:rsidR="008D262C" w:rsidRDefault="008D262C" w:rsidP="00DF36F2">
      <w:pPr>
        <w:pStyle w:val="MDPI31text"/>
        <w:ind w:left="0" w:firstLine="0"/>
        <w:rPr>
          <w:rFonts w:ascii="Times New Roman" w:hAnsi="Times New Roman"/>
          <w:szCs w:val="20"/>
        </w:rPr>
      </w:pPr>
    </w:p>
    <w:p w14:paraId="3BA4670C" w14:textId="6E821E02" w:rsidR="009C659C" w:rsidRDefault="009D476F" w:rsidP="00F77B21">
      <w:pPr>
        <w:pStyle w:val="MDPI31text"/>
        <w:ind w:left="0" w:firstLine="0"/>
        <w:jc w:val="center"/>
        <w:rPr>
          <w:rFonts w:ascii="Times New Roman" w:hAnsi="Times New Roman"/>
          <w:szCs w:val="20"/>
        </w:rPr>
      </w:pPr>
      <w:r w:rsidRPr="00AC76CA">
        <w:rPr>
          <w:rFonts w:ascii="Times New Roman" w:hAnsi="Times New Roman"/>
          <w:b/>
        </w:rPr>
        <w:t xml:space="preserve">Figure </w:t>
      </w:r>
      <w:r>
        <w:rPr>
          <w:rFonts w:ascii="Times New Roman" w:hAnsi="Times New Roman"/>
          <w:b/>
        </w:rPr>
        <w:t>2</w:t>
      </w:r>
      <w:r w:rsidRPr="00AC76CA">
        <w:rPr>
          <w:rFonts w:ascii="Times New Roman" w:hAnsi="Times New Roman"/>
          <w:b/>
        </w:rPr>
        <w:t xml:space="preserve">. </w:t>
      </w:r>
      <w:r w:rsidR="00F77B21" w:rsidRPr="00F77B21">
        <w:rPr>
          <w:rFonts w:ascii="Times New Roman" w:hAnsi="Times New Roman"/>
          <w:bCs/>
        </w:rPr>
        <w:t>(a)</w:t>
      </w:r>
      <w:r w:rsidR="00F77B21">
        <w:rPr>
          <w:rFonts w:ascii="Times New Roman" w:hAnsi="Times New Roman"/>
          <w:b/>
        </w:rPr>
        <w:t xml:space="preserve"> </w:t>
      </w:r>
      <w:r w:rsidR="00F77B21" w:rsidRPr="00F77B21">
        <w:rPr>
          <w:rFonts w:ascii="Times New Roman" w:hAnsi="Times New Roman"/>
          <w:bCs/>
        </w:rPr>
        <w:t xml:space="preserve">THz absorption spectra </w:t>
      </w:r>
      <w:r w:rsidR="00F77B21">
        <w:rPr>
          <w:rFonts w:ascii="Times New Roman" w:hAnsi="Times New Roman"/>
          <w:bCs/>
        </w:rPr>
        <w:t>and</w:t>
      </w:r>
      <w:r w:rsidR="00F77B21" w:rsidRPr="00F77B21">
        <w:rPr>
          <w:rFonts w:ascii="Times New Roman" w:hAnsi="Times New Roman"/>
          <w:bCs/>
        </w:rPr>
        <w:t xml:space="preserve"> </w:t>
      </w:r>
      <w:r w:rsidR="00F77B21">
        <w:rPr>
          <w:rFonts w:ascii="Times New Roman" w:hAnsi="Times New Roman"/>
          <w:bCs/>
        </w:rPr>
        <w:t>(b)</w:t>
      </w:r>
      <w:r w:rsidR="00F77B21" w:rsidRPr="00F77B21">
        <w:rPr>
          <w:rFonts w:ascii="Times New Roman" w:hAnsi="Times New Roman"/>
          <w:bCs/>
        </w:rPr>
        <w:t xml:space="preserve"> refractive indices of dried CCMEE 057 films on Si substrate obtained from the Bruggeman </w:t>
      </w:r>
      <w:r w:rsidR="00B87FDF" w:rsidRPr="00F77B21">
        <w:rPr>
          <w:rFonts w:ascii="Times New Roman" w:hAnsi="Times New Roman"/>
          <w:bCs/>
        </w:rPr>
        <w:t>model</w:t>
      </w:r>
      <w:r w:rsidR="00B87FDF">
        <w:rPr>
          <w:rFonts w:ascii="Times New Roman" w:hAnsi="Times New Roman"/>
          <w:bCs/>
        </w:rPr>
        <w:t xml:space="preserve"> </w:t>
      </w:r>
      <w:r w:rsidR="00B87FDF" w:rsidRPr="00F77B21">
        <w:rPr>
          <w:rFonts w:ascii="Times New Roman" w:hAnsi="Times New Roman"/>
          <w:bCs/>
        </w:rPr>
        <w:t>exposed</w:t>
      </w:r>
      <w:r w:rsidR="00F77B21" w:rsidRPr="00F77B21">
        <w:rPr>
          <w:rFonts w:ascii="Times New Roman" w:hAnsi="Times New Roman"/>
          <w:bCs/>
        </w:rPr>
        <w:t xml:space="preserve"> to increasing </w:t>
      </w:r>
      <w:r w:rsidR="00FD3023">
        <w:rPr>
          <w:rFonts w:ascii="Times New Roman" w:hAnsi="Times New Roman"/>
          <w:bCs/>
        </w:rPr>
        <w:t>X</w:t>
      </w:r>
      <w:r w:rsidR="00F77B21" w:rsidRPr="00F77B21">
        <w:rPr>
          <w:rFonts w:ascii="Times New Roman" w:hAnsi="Times New Roman"/>
          <w:bCs/>
        </w:rPr>
        <w:t xml:space="preserve"> - rays doses, during the STARLIFE campaign. The</w:t>
      </w:r>
      <w:r w:rsidR="00F77B21">
        <w:rPr>
          <w:rFonts w:ascii="Times New Roman" w:hAnsi="Times New Roman"/>
          <w:bCs/>
        </w:rPr>
        <w:t xml:space="preserve"> </w:t>
      </w:r>
      <w:r w:rsidR="00F77B21" w:rsidRPr="00F77B21">
        <w:rPr>
          <w:rFonts w:ascii="Times New Roman" w:hAnsi="Times New Roman"/>
          <w:bCs/>
        </w:rPr>
        <w:t>spectral range is 0.5–2.5 THz.</w:t>
      </w:r>
      <w:r w:rsidR="00D66CF3">
        <w:rPr>
          <w:rFonts w:ascii="Times New Roman" w:hAnsi="Times New Roman"/>
          <w:bCs/>
        </w:rPr>
        <w:t>[20]</w:t>
      </w:r>
    </w:p>
    <w:p w14:paraId="28A94905" w14:textId="77777777" w:rsidR="009C659C" w:rsidRPr="008D5C27" w:rsidRDefault="009C659C" w:rsidP="009C659C">
      <w:pPr>
        <w:pStyle w:val="MDPI31text"/>
        <w:ind w:left="0" w:firstLine="0"/>
        <w:rPr>
          <w:rFonts w:ascii="Times New Roman" w:hAnsi="Times New Roman"/>
          <w:szCs w:val="20"/>
        </w:rPr>
      </w:pPr>
    </w:p>
    <w:p w14:paraId="6A4F388C" w14:textId="77777777" w:rsidR="000B1AC4" w:rsidRDefault="000B1AC4" w:rsidP="00DF36F2">
      <w:pPr>
        <w:pStyle w:val="MDPI31text"/>
        <w:ind w:left="0" w:firstLine="0"/>
        <w:rPr>
          <w:rFonts w:ascii="Times New Roman" w:hAnsi="Times New Roman"/>
          <w:szCs w:val="20"/>
        </w:rPr>
      </w:pPr>
    </w:p>
    <w:p w14:paraId="39DBF089" w14:textId="77777777" w:rsidR="000B1AC4" w:rsidRDefault="000B1AC4" w:rsidP="00DF36F2">
      <w:pPr>
        <w:pStyle w:val="MDPI31text"/>
        <w:ind w:left="0" w:firstLine="0"/>
        <w:rPr>
          <w:rFonts w:ascii="Times New Roman" w:hAnsi="Times New Roman"/>
          <w:szCs w:val="20"/>
        </w:rPr>
      </w:pPr>
    </w:p>
    <w:p w14:paraId="12FA4894" w14:textId="1771AC05" w:rsidR="009C659C" w:rsidRPr="009C659C" w:rsidRDefault="007C62AA" w:rsidP="007C62AA">
      <w:pPr>
        <w:pStyle w:val="MDPI31text"/>
        <w:ind w:left="0" w:firstLine="0"/>
        <w:rPr>
          <w:rFonts w:ascii="Times New Roman" w:hAnsi="Times New Roman"/>
          <w:szCs w:val="20"/>
        </w:rPr>
      </w:pPr>
      <w:r>
        <w:rPr>
          <w:rFonts w:ascii="Times New Roman" w:hAnsi="Times New Roman"/>
          <w:szCs w:val="20"/>
        </w:rPr>
        <w:t>M</w:t>
      </w:r>
      <w:r w:rsidRPr="007C62AA">
        <w:rPr>
          <w:rFonts w:ascii="Times New Roman" w:hAnsi="Times New Roman"/>
          <w:szCs w:val="20"/>
        </w:rPr>
        <w:t xml:space="preserve">ore extensive </w:t>
      </w:r>
      <w:r w:rsidR="008B618B" w:rsidRPr="007C62AA">
        <w:rPr>
          <w:rFonts w:ascii="Times New Roman" w:hAnsi="Times New Roman"/>
          <w:szCs w:val="20"/>
        </w:rPr>
        <w:t>research</w:t>
      </w:r>
      <w:r w:rsidR="004F7969">
        <w:rPr>
          <w:rFonts w:ascii="Times New Roman" w:hAnsi="Times New Roman"/>
          <w:szCs w:val="20"/>
        </w:rPr>
        <w:t>es</w:t>
      </w:r>
      <w:r w:rsidRPr="007C62AA">
        <w:rPr>
          <w:rFonts w:ascii="Times New Roman" w:hAnsi="Times New Roman"/>
          <w:szCs w:val="20"/>
        </w:rPr>
        <w:t xml:space="preserve"> should be performed, previous results [</w:t>
      </w:r>
      <w:r>
        <w:rPr>
          <w:rFonts w:ascii="Times New Roman" w:hAnsi="Times New Roman"/>
          <w:szCs w:val="20"/>
        </w:rPr>
        <w:t>2,4, 22</w:t>
      </w:r>
      <w:r w:rsidRPr="007C62AA">
        <w:rPr>
          <w:rFonts w:ascii="Times New Roman" w:hAnsi="Times New Roman"/>
          <w:szCs w:val="20"/>
        </w:rPr>
        <w:t xml:space="preserve">], suggest that a direct </w:t>
      </w:r>
      <w:r w:rsidR="00AF4CB2">
        <w:rPr>
          <w:rFonts w:ascii="Times New Roman" w:hAnsi="Times New Roman"/>
          <w:szCs w:val="20"/>
        </w:rPr>
        <w:t>microorganism</w:t>
      </w:r>
      <w:r>
        <w:rPr>
          <w:rFonts w:ascii="Times New Roman" w:hAnsi="Times New Roman"/>
          <w:szCs w:val="20"/>
        </w:rPr>
        <w:t xml:space="preserve"> </w:t>
      </w:r>
      <w:r w:rsidRPr="007C62AA">
        <w:rPr>
          <w:rFonts w:ascii="Times New Roman" w:hAnsi="Times New Roman"/>
          <w:szCs w:val="20"/>
        </w:rPr>
        <w:t>THz detection is very difficult due to the virus low THz absorption coefficient and</w:t>
      </w:r>
      <w:r>
        <w:rPr>
          <w:rFonts w:ascii="Times New Roman" w:hAnsi="Times New Roman"/>
          <w:szCs w:val="20"/>
        </w:rPr>
        <w:t>, in various cases, the</w:t>
      </w:r>
      <w:r w:rsidRPr="007C62AA">
        <w:rPr>
          <w:rFonts w:ascii="Times New Roman" w:hAnsi="Times New Roman"/>
          <w:szCs w:val="20"/>
        </w:rPr>
        <w:t xml:space="preserve"> absence of specific</w:t>
      </w:r>
      <w:r>
        <w:rPr>
          <w:rFonts w:ascii="Times New Roman" w:hAnsi="Times New Roman"/>
          <w:szCs w:val="20"/>
        </w:rPr>
        <w:t xml:space="preserve"> </w:t>
      </w:r>
      <w:r w:rsidRPr="007C62AA">
        <w:rPr>
          <w:rFonts w:ascii="Times New Roman" w:hAnsi="Times New Roman"/>
          <w:szCs w:val="20"/>
        </w:rPr>
        <w:t>THz spectral features</w:t>
      </w:r>
      <w:r>
        <w:rPr>
          <w:rFonts w:ascii="Times New Roman" w:hAnsi="Times New Roman"/>
          <w:szCs w:val="20"/>
        </w:rPr>
        <w:t xml:space="preserve">. Thus, </w:t>
      </w:r>
      <w:r w:rsidR="0098085B" w:rsidRPr="0098085B">
        <w:rPr>
          <w:rFonts w:ascii="Times New Roman" w:hAnsi="Times New Roman"/>
          <w:szCs w:val="20"/>
        </w:rPr>
        <w:t>THz spectroscopy can be used to study the optical properties, such as the refractive index and absorption coefficient, of different types of pathogens, the THz wavelength is much larger than the particle size of microorganisms. This results in very low spatial resolution and reduced sensitivity. However, incredible advances in the field of optics make it possible to maximize the interaction between radiation and biomaterial using plasmonic biosensors and metamaterial</w:t>
      </w:r>
      <w:r w:rsidR="0098085B">
        <w:rPr>
          <w:rFonts w:ascii="Times New Roman" w:hAnsi="Times New Roman"/>
          <w:szCs w:val="20"/>
        </w:rPr>
        <w:t>s</w:t>
      </w:r>
      <w:r w:rsidR="009C659C" w:rsidRPr="009C659C">
        <w:rPr>
          <w:rFonts w:ascii="Times New Roman" w:hAnsi="Times New Roman"/>
          <w:szCs w:val="20"/>
        </w:rPr>
        <w:t>.</w:t>
      </w:r>
    </w:p>
    <w:p w14:paraId="36EC3431" w14:textId="55F3057D" w:rsidR="007C62AA" w:rsidRDefault="007C62AA" w:rsidP="007C62AA">
      <w:pPr>
        <w:pStyle w:val="MDPI31text"/>
        <w:ind w:left="0" w:firstLine="0"/>
        <w:rPr>
          <w:rFonts w:ascii="Times New Roman" w:hAnsi="Times New Roman"/>
          <w:szCs w:val="20"/>
        </w:rPr>
      </w:pPr>
      <w:r w:rsidRPr="007C62AA">
        <w:rPr>
          <w:rFonts w:ascii="Times New Roman" w:hAnsi="Times New Roman"/>
          <w:szCs w:val="20"/>
        </w:rPr>
        <w:lastRenderedPageBreak/>
        <w:t>Meta- and nanomaterials, operating in the THz region, represent an attractive alternative and provide great potential for high-speed, on-site and label-free point-of-care virus detection</w:t>
      </w:r>
      <w:r>
        <w:rPr>
          <w:rFonts w:ascii="Times New Roman" w:hAnsi="Times New Roman"/>
          <w:szCs w:val="20"/>
        </w:rPr>
        <w:t xml:space="preserve"> [2,4]</w:t>
      </w:r>
      <w:r w:rsidRPr="007C62AA">
        <w:rPr>
          <w:rFonts w:ascii="Times New Roman" w:hAnsi="Times New Roman"/>
          <w:szCs w:val="20"/>
        </w:rPr>
        <w:t xml:space="preserve">. Some previously examined plasmonic platforms, such as planar metal-dielectric biosensors, require simple and intelligent fabrication techniques to achieve low LODs. We explored pioneering studies on THz virus detection and reported technological efforts in THz metamaterial optical biosensors, highlighting the flexibility of a variety of geometric structures, their sensitivity, and LODs for various </w:t>
      </w:r>
      <w:r>
        <w:rPr>
          <w:rFonts w:ascii="Times New Roman" w:hAnsi="Times New Roman"/>
          <w:szCs w:val="20"/>
        </w:rPr>
        <w:t>microorganism [2,4]</w:t>
      </w:r>
      <w:r w:rsidRPr="007C62AA">
        <w:rPr>
          <w:rFonts w:ascii="Times New Roman" w:hAnsi="Times New Roman"/>
          <w:szCs w:val="20"/>
        </w:rPr>
        <w:t xml:space="preserve">. However, the strong potential of THz-based </w:t>
      </w:r>
      <w:r>
        <w:rPr>
          <w:rFonts w:ascii="Times New Roman" w:hAnsi="Times New Roman"/>
          <w:szCs w:val="20"/>
        </w:rPr>
        <w:t>pathogens</w:t>
      </w:r>
      <w:r w:rsidRPr="007C62AA">
        <w:rPr>
          <w:rFonts w:ascii="Times New Roman" w:hAnsi="Times New Roman"/>
          <w:szCs w:val="20"/>
        </w:rPr>
        <w:t xml:space="preserve"> detection is still in the early stages of development and far from clinical use. However, recent technological improvements in the manufacturing and miniaturization of THz layouts promise to improve the performance of meta- and nano-sensors, achieving higher sensitivities than traditional/conventional devices, and even enabling remote localization and control.</w:t>
      </w:r>
    </w:p>
    <w:p w14:paraId="3E664894" w14:textId="77777777" w:rsidR="007C62AA" w:rsidRDefault="007C62AA" w:rsidP="007C62AA">
      <w:pPr>
        <w:pStyle w:val="MDPI31text"/>
        <w:ind w:left="0" w:firstLine="0"/>
        <w:rPr>
          <w:rFonts w:ascii="Times New Roman" w:hAnsi="Times New Roman"/>
          <w:szCs w:val="20"/>
        </w:rPr>
      </w:pPr>
    </w:p>
    <w:p w14:paraId="078707AC" w14:textId="77777777" w:rsidR="007C62AA" w:rsidRPr="007C62AA" w:rsidRDefault="007C62AA" w:rsidP="007C62AA">
      <w:pPr>
        <w:pStyle w:val="MDPI31text"/>
        <w:ind w:left="0" w:firstLine="0"/>
        <w:rPr>
          <w:rFonts w:ascii="Times New Roman" w:hAnsi="Times New Roman"/>
          <w:szCs w:val="20"/>
        </w:rPr>
      </w:pPr>
      <w:r w:rsidRPr="007C62AA">
        <w:rPr>
          <w:rFonts w:ascii="Times New Roman" w:hAnsi="Times New Roman"/>
          <w:szCs w:val="20"/>
        </w:rPr>
        <w:t>Finally, recent applications of machine learning have achieved great acclaim in several scientific fields, including sensor design, where the behavior of integrated metamaterial systems has been explored.</w:t>
      </w:r>
    </w:p>
    <w:p w14:paraId="623E0EC6" w14:textId="77777777" w:rsidR="007C62AA" w:rsidRPr="007C62AA" w:rsidRDefault="007C62AA" w:rsidP="003A5DFA">
      <w:pPr>
        <w:pStyle w:val="MDPI31text"/>
        <w:ind w:left="0" w:firstLine="0"/>
        <w:rPr>
          <w:rFonts w:ascii="Times New Roman" w:hAnsi="Times New Roman"/>
          <w:szCs w:val="20"/>
        </w:rPr>
      </w:pPr>
      <w:r w:rsidRPr="007C62AA">
        <w:rPr>
          <w:rFonts w:ascii="Times New Roman" w:hAnsi="Times New Roman"/>
          <w:szCs w:val="20"/>
        </w:rPr>
        <w:t>Deep learning methods have also been successfully used to predict potential correlations between plasmonic geometric structures, their optical parameters, and the resulting resonance spectra. Research based on new photonic materials, such as topological insulators and quantum photonics devices, offers promising ideas for THz biosensing.</w:t>
      </w:r>
    </w:p>
    <w:p w14:paraId="146106A1" w14:textId="368E9289" w:rsidR="00844B1D" w:rsidRDefault="007C62AA" w:rsidP="007C62AA">
      <w:pPr>
        <w:pStyle w:val="MDPI31text"/>
        <w:ind w:left="0" w:firstLine="0"/>
        <w:rPr>
          <w:rFonts w:ascii="Times New Roman" w:hAnsi="Times New Roman"/>
          <w:szCs w:val="20"/>
        </w:rPr>
      </w:pPr>
      <w:r w:rsidRPr="007C62AA">
        <w:rPr>
          <w:rFonts w:ascii="Times New Roman" w:hAnsi="Times New Roman"/>
          <w:szCs w:val="20"/>
        </w:rPr>
        <w:t>In this continuously evolving framework, we are exploring the emerging and challenging technology of THz radiation and its solutions and applications for high-sensitivity detection.</w:t>
      </w:r>
    </w:p>
    <w:p w14:paraId="52842895" w14:textId="77777777" w:rsidR="003A5DFA" w:rsidRDefault="003A5DFA" w:rsidP="007C62AA">
      <w:pPr>
        <w:pStyle w:val="MDPI31text"/>
        <w:ind w:left="0" w:firstLine="0"/>
        <w:rPr>
          <w:rFonts w:ascii="Times New Roman" w:hAnsi="Times New Roman"/>
          <w:szCs w:val="20"/>
        </w:rPr>
      </w:pPr>
    </w:p>
    <w:p w14:paraId="790A79E8" w14:textId="031980ED" w:rsidR="00AC76CA" w:rsidRPr="00240F9B" w:rsidRDefault="00AC76CA" w:rsidP="00240F9B">
      <w:pPr>
        <w:pStyle w:val="MDPI13authornames"/>
        <w:rPr>
          <w:rFonts w:ascii="Times New Roman" w:hAnsi="Times New Roman"/>
          <w:szCs w:val="20"/>
        </w:rPr>
      </w:pPr>
      <w:r w:rsidRPr="00FA04F1">
        <w:t>References</w:t>
      </w:r>
    </w:p>
    <w:p w14:paraId="6B0BBE14" w14:textId="0500865A" w:rsidR="00977A2A" w:rsidRDefault="00977A2A" w:rsidP="00240F9B">
      <w:pPr>
        <w:pStyle w:val="MDPI71References"/>
        <w:numPr>
          <w:ilvl w:val="0"/>
          <w:numId w:val="3"/>
        </w:numPr>
        <w:ind w:left="425" w:hanging="425"/>
      </w:pPr>
      <w:r w:rsidRPr="008B618B">
        <w:t xml:space="preserve">Mancini, T.; </w:t>
      </w:r>
      <w:proofErr w:type="spellStart"/>
      <w:r w:rsidRPr="008B618B">
        <w:t>Mosetti</w:t>
      </w:r>
      <w:proofErr w:type="spellEnd"/>
      <w:r w:rsidRPr="008B618B">
        <w:t xml:space="preserve">, R.; Marcelli, A.; Petrarca, M.; Lupi, S.; D’Arco, A. Terahertz Spectroscopic Analysis in Protein Dynamics: Current Status. </w:t>
      </w:r>
      <w:r w:rsidRPr="00977A2A">
        <w:rPr>
          <w:i/>
          <w:iCs/>
        </w:rPr>
        <w:t>Radiation</w:t>
      </w:r>
      <w:r w:rsidRPr="00977A2A">
        <w:t xml:space="preserve"> </w:t>
      </w:r>
      <w:r w:rsidRPr="00977A2A">
        <w:rPr>
          <w:b/>
          <w:bCs/>
        </w:rPr>
        <w:t>2022</w:t>
      </w:r>
      <w:r w:rsidRPr="00977A2A">
        <w:t xml:space="preserve">, </w:t>
      </w:r>
      <w:r w:rsidRPr="00977A2A">
        <w:rPr>
          <w:i/>
          <w:iCs/>
        </w:rPr>
        <w:t>2</w:t>
      </w:r>
      <w:r w:rsidRPr="00977A2A">
        <w:t>, 100-123</w:t>
      </w:r>
      <w:r>
        <w:t>.</w:t>
      </w:r>
    </w:p>
    <w:p w14:paraId="1EACAB13" w14:textId="053CCF60" w:rsidR="00977A2A" w:rsidRDefault="00977A2A" w:rsidP="00240F9B">
      <w:pPr>
        <w:pStyle w:val="MDPI71References"/>
        <w:numPr>
          <w:ilvl w:val="0"/>
          <w:numId w:val="3"/>
        </w:numPr>
        <w:ind w:left="425" w:hanging="425"/>
      </w:pPr>
      <w:r w:rsidRPr="00977A2A">
        <w:t xml:space="preserve">Mancini, T.; Marcelli, A.; Lupi, S.; D’Arco, A. New Frontier in Terahertz Technologies for Virus Sensing. </w:t>
      </w:r>
      <w:r w:rsidRPr="00977A2A">
        <w:rPr>
          <w:i/>
          <w:iCs/>
        </w:rPr>
        <w:t xml:space="preserve">Electronics </w:t>
      </w:r>
      <w:r w:rsidRPr="00977A2A">
        <w:rPr>
          <w:b/>
          <w:bCs/>
        </w:rPr>
        <w:t>2023</w:t>
      </w:r>
      <w:r w:rsidRPr="00977A2A">
        <w:rPr>
          <w:i/>
          <w:iCs/>
        </w:rPr>
        <w:t>, 12</w:t>
      </w:r>
      <w:r w:rsidRPr="00977A2A">
        <w:t>, 135.</w:t>
      </w:r>
    </w:p>
    <w:p w14:paraId="37ECECBC" w14:textId="77777777" w:rsidR="00F511FF" w:rsidRDefault="00CA1683" w:rsidP="00F511FF">
      <w:pPr>
        <w:pStyle w:val="MDPI71References"/>
        <w:numPr>
          <w:ilvl w:val="0"/>
          <w:numId w:val="3"/>
        </w:numPr>
        <w:ind w:left="425" w:hanging="425"/>
      </w:pPr>
      <w:r w:rsidRPr="00CA1683">
        <w:t xml:space="preserve">Carter, L.; Garner, L.; Smoot, J.; Li, Y.; Zhou, Q.; </w:t>
      </w:r>
      <w:proofErr w:type="spellStart"/>
      <w:r w:rsidRPr="00CA1683">
        <w:t>Saveson</w:t>
      </w:r>
      <w:proofErr w:type="spellEnd"/>
      <w:r w:rsidRPr="00CA1683">
        <w:t xml:space="preserve">, C.J.-; Sasso, J.M.; Gregg, A.C.; Soares, D.J.; Beskid, T.R.; et al. Assay techniques and test development for COVID-19 diagnosis. </w:t>
      </w:r>
      <w:r w:rsidRPr="00CA1683">
        <w:rPr>
          <w:i/>
          <w:iCs/>
        </w:rPr>
        <w:t>ACS Cent. Sci.</w:t>
      </w:r>
      <w:r w:rsidRPr="00CA1683">
        <w:t xml:space="preserve"> </w:t>
      </w:r>
      <w:r w:rsidRPr="00CA1683">
        <w:rPr>
          <w:b/>
          <w:bCs/>
        </w:rPr>
        <w:t>2020</w:t>
      </w:r>
      <w:r w:rsidRPr="00CA1683">
        <w:t xml:space="preserve">, </w:t>
      </w:r>
      <w:r w:rsidRPr="00CA1683">
        <w:rPr>
          <w:i/>
          <w:iCs/>
        </w:rPr>
        <w:t>6,</w:t>
      </w:r>
      <w:r w:rsidRPr="00CA1683">
        <w:t xml:space="preserve"> 591–605.</w:t>
      </w:r>
    </w:p>
    <w:p w14:paraId="1B09E24D" w14:textId="5A193947" w:rsidR="00CA1683" w:rsidRDefault="00F511FF" w:rsidP="00F511FF">
      <w:pPr>
        <w:pStyle w:val="MDPI71References"/>
        <w:numPr>
          <w:ilvl w:val="0"/>
          <w:numId w:val="3"/>
        </w:numPr>
        <w:ind w:left="425" w:hanging="425"/>
      </w:pPr>
      <w:r w:rsidRPr="00F511FF">
        <w:t>Di Fabrizio, M.; Lupi, S.; D’Arco, A. Virus recognition with terahertz radiation: drawbacks</w:t>
      </w:r>
      <w:r>
        <w:t xml:space="preserve"> </w:t>
      </w:r>
      <w:r w:rsidRPr="00F511FF">
        <w:t>and potentialities</w:t>
      </w:r>
      <w:r>
        <w:t xml:space="preserve">. </w:t>
      </w:r>
      <w:r w:rsidRPr="00F511FF">
        <w:rPr>
          <w:i/>
          <w:iCs/>
        </w:rPr>
        <w:t>J. Phys. Photonics</w:t>
      </w:r>
      <w:r w:rsidRPr="00F511FF">
        <w:rPr>
          <w:b/>
          <w:bCs/>
        </w:rPr>
        <w:t xml:space="preserve"> 2021</w:t>
      </w:r>
      <w:r>
        <w:t xml:space="preserve">, </w:t>
      </w:r>
      <w:r w:rsidRPr="00F511FF">
        <w:rPr>
          <w:i/>
          <w:iCs/>
        </w:rPr>
        <w:t>3,</w:t>
      </w:r>
      <w:r w:rsidRPr="00F511FF">
        <w:t xml:space="preserve"> 032001</w:t>
      </w:r>
      <w:r>
        <w:t>.</w:t>
      </w:r>
    </w:p>
    <w:p w14:paraId="57069584" w14:textId="4572BE90" w:rsidR="00F511FF" w:rsidRDefault="00F511FF" w:rsidP="00F511FF">
      <w:pPr>
        <w:pStyle w:val="MDPI71References"/>
        <w:numPr>
          <w:ilvl w:val="0"/>
          <w:numId w:val="3"/>
        </w:numPr>
        <w:ind w:left="425" w:hanging="425"/>
      </w:pPr>
      <w:r w:rsidRPr="00F511FF">
        <w:t>Curcio, A.; Petrarca, M. Diagnosing plasmas with wideband terahertz pulses.</w:t>
      </w:r>
      <w:r w:rsidRPr="00F511FF">
        <w:rPr>
          <w:i/>
          <w:iCs/>
        </w:rPr>
        <w:t xml:space="preserve"> Opt. Lett. </w:t>
      </w:r>
      <w:r w:rsidRPr="00F511FF">
        <w:rPr>
          <w:b/>
          <w:bCs/>
        </w:rPr>
        <w:t>2019</w:t>
      </w:r>
      <w:r w:rsidRPr="00F511FF">
        <w:t xml:space="preserve">, </w:t>
      </w:r>
      <w:r w:rsidRPr="00F511FF">
        <w:rPr>
          <w:i/>
          <w:iCs/>
        </w:rPr>
        <w:t>44</w:t>
      </w:r>
      <w:r w:rsidRPr="00F511FF">
        <w:t>, 1011–1014</w:t>
      </w:r>
      <w:r>
        <w:t>.</w:t>
      </w:r>
    </w:p>
    <w:p w14:paraId="141D38A2" w14:textId="658E3C3F" w:rsidR="00F511FF" w:rsidRDefault="00AF65E6" w:rsidP="00F511FF">
      <w:pPr>
        <w:pStyle w:val="MDPI71References"/>
        <w:numPr>
          <w:ilvl w:val="0"/>
          <w:numId w:val="3"/>
        </w:numPr>
        <w:ind w:left="425" w:hanging="425"/>
      </w:pPr>
      <w:r w:rsidRPr="00AF65E6">
        <w:t xml:space="preserve">Curcio, A.; Mou, S.; Palumbo, L.; Lupi, S.; Petrarca, M. Selection rules for the orbital angular momentum of optically produced THz radiation. </w:t>
      </w:r>
      <w:r w:rsidRPr="00AF65E6">
        <w:rPr>
          <w:i/>
          <w:iCs/>
        </w:rPr>
        <w:t>Opt. Lett.</w:t>
      </w:r>
      <w:r w:rsidRPr="00AF65E6">
        <w:t xml:space="preserve"> </w:t>
      </w:r>
      <w:r w:rsidRPr="00AF65E6">
        <w:rPr>
          <w:b/>
          <w:bCs/>
        </w:rPr>
        <w:t>2021</w:t>
      </w:r>
      <w:r w:rsidRPr="00AF65E6">
        <w:t xml:space="preserve">, </w:t>
      </w:r>
      <w:r w:rsidRPr="00AF65E6">
        <w:rPr>
          <w:i/>
          <w:iCs/>
        </w:rPr>
        <w:t>46</w:t>
      </w:r>
      <w:r w:rsidRPr="00AF65E6">
        <w:t>, 1514–1517.</w:t>
      </w:r>
    </w:p>
    <w:p w14:paraId="48BA3B41" w14:textId="55C51242" w:rsidR="00AF65E6" w:rsidRDefault="00AF65E6" w:rsidP="00F511FF">
      <w:pPr>
        <w:pStyle w:val="MDPI71References"/>
        <w:numPr>
          <w:ilvl w:val="0"/>
          <w:numId w:val="3"/>
        </w:numPr>
        <w:ind w:left="425" w:hanging="425"/>
      </w:pPr>
      <w:r w:rsidRPr="00AF65E6">
        <w:t>Mou, S.; D’Arco, A.; Tomarchio, L.; Di Fabrizio, M.; Curcio, A.; Lupi, S.; Petrarca, M. Simultaneous elliptically and radially polarized THz from one-color laser-induced plasma filament.</w:t>
      </w:r>
      <w:r w:rsidRPr="00AF65E6">
        <w:rPr>
          <w:i/>
          <w:iCs/>
        </w:rPr>
        <w:t xml:space="preserve"> New J. Phys.</w:t>
      </w:r>
      <w:r w:rsidRPr="00AF65E6">
        <w:t xml:space="preserve"> </w:t>
      </w:r>
      <w:r w:rsidRPr="00AF65E6">
        <w:rPr>
          <w:b/>
          <w:bCs/>
        </w:rPr>
        <w:t>2021</w:t>
      </w:r>
      <w:r w:rsidRPr="00AF65E6">
        <w:t xml:space="preserve">, </w:t>
      </w:r>
      <w:r w:rsidRPr="00AF65E6">
        <w:rPr>
          <w:i/>
          <w:iCs/>
        </w:rPr>
        <w:t>23</w:t>
      </w:r>
      <w:r w:rsidRPr="00AF65E6">
        <w:t>, 063048</w:t>
      </w:r>
      <w:r>
        <w:t>.</w:t>
      </w:r>
    </w:p>
    <w:p w14:paraId="1978CC75" w14:textId="7C4291DE" w:rsidR="00AF65E6" w:rsidRDefault="009123A3" w:rsidP="00F511FF">
      <w:pPr>
        <w:pStyle w:val="MDPI71References"/>
        <w:numPr>
          <w:ilvl w:val="0"/>
          <w:numId w:val="3"/>
        </w:numPr>
        <w:ind w:left="425" w:hanging="425"/>
      </w:pPr>
      <w:r w:rsidRPr="009123A3">
        <w:t xml:space="preserve">D’Arco, A.; Tomarchio, L.; Dolci, V.; Di Pietro, P.; </w:t>
      </w:r>
      <w:proofErr w:type="spellStart"/>
      <w:r w:rsidRPr="009123A3">
        <w:t>Perucchi</w:t>
      </w:r>
      <w:proofErr w:type="spellEnd"/>
      <w:r w:rsidRPr="009123A3">
        <w:t xml:space="preserve">, A.; Mou, S.; Petrarca, M.; Lupi, S. Broadband anisotropic optical properties of the terahertz generator HMQ-TMS organic crystal. </w:t>
      </w:r>
      <w:proofErr w:type="spellStart"/>
      <w:r w:rsidRPr="009123A3">
        <w:rPr>
          <w:i/>
          <w:iCs/>
        </w:rPr>
        <w:t>Condens</w:t>
      </w:r>
      <w:proofErr w:type="spellEnd"/>
      <w:r w:rsidRPr="009123A3">
        <w:rPr>
          <w:i/>
          <w:iCs/>
        </w:rPr>
        <w:t>. Matter</w:t>
      </w:r>
      <w:r w:rsidRPr="009123A3">
        <w:t xml:space="preserve"> </w:t>
      </w:r>
      <w:r w:rsidRPr="009123A3">
        <w:rPr>
          <w:b/>
          <w:bCs/>
        </w:rPr>
        <w:t>2020</w:t>
      </w:r>
      <w:r w:rsidRPr="009123A3">
        <w:t xml:space="preserve">, </w:t>
      </w:r>
      <w:r w:rsidRPr="009123A3">
        <w:rPr>
          <w:i/>
          <w:iCs/>
        </w:rPr>
        <w:t>5,</w:t>
      </w:r>
      <w:r w:rsidRPr="009123A3">
        <w:t xml:space="preserve"> 47.</w:t>
      </w:r>
    </w:p>
    <w:p w14:paraId="4C5BBEF8" w14:textId="2795A644" w:rsidR="009123A3" w:rsidRDefault="00FF07D8" w:rsidP="00F511FF">
      <w:pPr>
        <w:pStyle w:val="MDPI71References"/>
        <w:numPr>
          <w:ilvl w:val="0"/>
          <w:numId w:val="3"/>
        </w:numPr>
        <w:ind w:left="425" w:hanging="425"/>
      </w:pPr>
      <w:r w:rsidRPr="00FF07D8">
        <w:t xml:space="preserve">Lupi, S.; </w:t>
      </w:r>
      <w:proofErr w:type="spellStart"/>
      <w:r w:rsidRPr="00FF07D8">
        <w:t>Molle</w:t>
      </w:r>
      <w:proofErr w:type="spellEnd"/>
      <w:r w:rsidRPr="00FF07D8">
        <w:t xml:space="preserve">, A. Emerging Dirac materials for THz </w:t>
      </w:r>
      <w:proofErr w:type="spellStart"/>
      <w:r w:rsidRPr="00FF07D8">
        <w:t>plasmonics</w:t>
      </w:r>
      <w:proofErr w:type="spellEnd"/>
      <w:r w:rsidRPr="00FF07D8">
        <w:t>.</w:t>
      </w:r>
      <w:r w:rsidRPr="00FF07D8">
        <w:rPr>
          <w:i/>
          <w:iCs/>
        </w:rPr>
        <w:t xml:space="preserve"> Appl. Mater. Today</w:t>
      </w:r>
      <w:r w:rsidRPr="00FF07D8">
        <w:t xml:space="preserve"> </w:t>
      </w:r>
      <w:r w:rsidRPr="00FF07D8">
        <w:rPr>
          <w:b/>
          <w:bCs/>
        </w:rPr>
        <w:t>2020</w:t>
      </w:r>
      <w:r w:rsidRPr="00FF07D8">
        <w:t xml:space="preserve">, </w:t>
      </w:r>
      <w:r w:rsidRPr="00FF07D8">
        <w:rPr>
          <w:i/>
          <w:iCs/>
        </w:rPr>
        <w:t>20</w:t>
      </w:r>
      <w:r w:rsidRPr="00FF07D8">
        <w:t>, 100732.</w:t>
      </w:r>
    </w:p>
    <w:p w14:paraId="478B23DC" w14:textId="20604095" w:rsidR="00FF07D8" w:rsidRDefault="00FF07D8" w:rsidP="00F511FF">
      <w:pPr>
        <w:pStyle w:val="MDPI71References"/>
        <w:numPr>
          <w:ilvl w:val="0"/>
          <w:numId w:val="3"/>
        </w:numPr>
        <w:ind w:left="425" w:hanging="425"/>
      </w:pPr>
      <w:r w:rsidRPr="00FF07D8">
        <w:t xml:space="preserve">Galstyan, V.; D’Arco, A.; Di Fabrizio, M.; Poli, N.; Lupi, S.; Comini, E. Detection of volatile organic compounds: From chemical gas sensors to terahertz spectroscopy. </w:t>
      </w:r>
      <w:r w:rsidRPr="00FF07D8">
        <w:rPr>
          <w:i/>
          <w:iCs/>
        </w:rPr>
        <w:t>Rev. Anal. Chem.</w:t>
      </w:r>
      <w:r w:rsidRPr="00FF07D8">
        <w:t xml:space="preserve"> </w:t>
      </w:r>
      <w:r w:rsidRPr="00FF07D8">
        <w:rPr>
          <w:b/>
          <w:bCs/>
        </w:rPr>
        <w:t>2021</w:t>
      </w:r>
      <w:r w:rsidRPr="00FF07D8">
        <w:t xml:space="preserve">, </w:t>
      </w:r>
      <w:r w:rsidRPr="00FF07D8">
        <w:rPr>
          <w:i/>
          <w:iCs/>
        </w:rPr>
        <w:t>40</w:t>
      </w:r>
      <w:r w:rsidRPr="00FF07D8">
        <w:t>, 33–57.</w:t>
      </w:r>
    </w:p>
    <w:p w14:paraId="648EB8EB" w14:textId="188C4A90" w:rsidR="00FF07D8" w:rsidRDefault="00FF07D8" w:rsidP="00F511FF">
      <w:pPr>
        <w:pStyle w:val="MDPI71References"/>
        <w:numPr>
          <w:ilvl w:val="0"/>
          <w:numId w:val="3"/>
        </w:numPr>
        <w:ind w:left="425" w:hanging="425"/>
      </w:pPr>
      <w:r w:rsidRPr="00FF07D8">
        <w:t xml:space="preserve">D’Arco, A.; Di Fabrizio, M.; Dolci, V.; Marcelli, A.; Petrarca, M.; Della Ventura, G.; Lupi, S. Characterization of volatile organic compounds (VOCs) in their liquid-phase by terahertz time-domain spectroscopy. </w:t>
      </w:r>
      <w:r w:rsidRPr="00B83F8F">
        <w:rPr>
          <w:i/>
          <w:iCs/>
        </w:rPr>
        <w:t>Biomed. Opt. Exp</w:t>
      </w:r>
      <w:r w:rsidRPr="00FF07D8">
        <w:t xml:space="preserve">. </w:t>
      </w:r>
      <w:r w:rsidRPr="00B83F8F">
        <w:rPr>
          <w:b/>
          <w:bCs/>
        </w:rPr>
        <w:t>2019</w:t>
      </w:r>
      <w:r w:rsidRPr="00FF07D8">
        <w:t xml:space="preserve">, </w:t>
      </w:r>
      <w:r w:rsidRPr="00B83F8F">
        <w:rPr>
          <w:i/>
          <w:iCs/>
        </w:rPr>
        <w:t>11</w:t>
      </w:r>
      <w:r w:rsidRPr="00FF07D8">
        <w:t>, 1–7.</w:t>
      </w:r>
    </w:p>
    <w:p w14:paraId="1B7E013B" w14:textId="797EC321" w:rsidR="00FF07D8" w:rsidRDefault="00FF07D8" w:rsidP="00F511FF">
      <w:pPr>
        <w:pStyle w:val="MDPI71References"/>
        <w:numPr>
          <w:ilvl w:val="0"/>
          <w:numId w:val="3"/>
        </w:numPr>
        <w:ind w:left="425" w:hanging="425"/>
      </w:pPr>
      <w:r w:rsidRPr="00FF07D8">
        <w:t xml:space="preserve">D’Arco, A.; Rocco, D.; Magboo, F.P.; Moffa, C.; Della Ventura, G.; Marcelli, A.; Palumbo, L.; Mattiello, L.; Lupi, S.; Petrarca, M. Terahertz continuous wave spectroscopy: A portable advanced method for atmospheric gas sensing. </w:t>
      </w:r>
      <w:r w:rsidRPr="00B83F8F">
        <w:rPr>
          <w:i/>
          <w:iCs/>
        </w:rPr>
        <w:t>Opt. Exp.</w:t>
      </w:r>
      <w:r w:rsidRPr="00B83F8F">
        <w:rPr>
          <w:b/>
          <w:bCs/>
        </w:rPr>
        <w:t xml:space="preserve"> 2022</w:t>
      </w:r>
      <w:r w:rsidRPr="00FF07D8">
        <w:t>,</w:t>
      </w:r>
      <w:r w:rsidRPr="00B83F8F">
        <w:rPr>
          <w:i/>
          <w:iCs/>
        </w:rPr>
        <w:t xml:space="preserve"> 30</w:t>
      </w:r>
      <w:r w:rsidRPr="00FF07D8">
        <w:t>, 19005–19016.</w:t>
      </w:r>
    </w:p>
    <w:p w14:paraId="11A452E5" w14:textId="2FB072AF" w:rsidR="00FF07D8" w:rsidRDefault="00FF07D8" w:rsidP="00F511FF">
      <w:pPr>
        <w:pStyle w:val="MDPI71References"/>
        <w:numPr>
          <w:ilvl w:val="0"/>
          <w:numId w:val="3"/>
        </w:numPr>
        <w:ind w:left="425" w:hanging="425"/>
      </w:pPr>
      <w:r w:rsidRPr="00FF07D8">
        <w:t xml:space="preserve">Macis, S.; Paolozzi, M.C.; D’Arco, A.; Tomarchio, L.; Di Gaspare, A.; Lupi, S. Terahertz Resonators Based on YBa2Cu3O7 High-Tc Superconductor. </w:t>
      </w:r>
      <w:r w:rsidRPr="00B83F8F">
        <w:rPr>
          <w:i/>
          <w:iCs/>
        </w:rPr>
        <w:t>Appl. Sci.</w:t>
      </w:r>
      <w:r w:rsidRPr="00FF07D8">
        <w:t xml:space="preserve"> </w:t>
      </w:r>
      <w:r w:rsidRPr="00B83F8F">
        <w:rPr>
          <w:b/>
          <w:bCs/>
        </w:rPr>
        <w:t>2022</w:t>
      </w:r>
      <w:r w:rsidRPr="00FF07D8">
        <w:t>,</w:t>
      </w:r>
      <w:r w:rsidRPr="00B83F8F">
        <w:rPr>
          <w:i/>
          <w:iCs/>
        </w:rPr>
        <w:t xml:space="preserve"> 12</w:t>
      </w:r>
      <w:r w:rsidRPr="00FF07D8">
        <w:t>, 10242.</w:t>
      </w:r>
    </w:p>
    <w:p w14:paraId="06F6F2A7" w14:textId="62505F9B" w:rsidR="00FF07D8" w:rsidRDefault="00FF07D8" w:rsidP="00F511FF">
      <w:pPr>
        <w:pStyle w:val="MDPI71References"/>
        <w:numPr>
          <w:ilvl w:val="0"/>
          <w:numId w:val="3"/>
        </w:numPr>
        <w:ind w:left="425" w:hanging="425"/>
      </w:pPr>
      <w:r w:rsidRPr="00FF07D8">
        <w:rPr>
          <w:lang w:val="it-IT"/>
        </w:rPr>
        <w:t xml:space="preserve">Tomarchio, L.; Macis, S.; D’Arco, A.; Mou, S.; Grilli, A.; Romani, M.; Cestelli Guidi, M.; Hu, K.; </w:t>
      </w:r>
      <w:proofErr w:type="spellStart"/>
      <w:r w:rsidRPr="00FF07D8">
        <w:rPr>
          <w:lang w:val="it-IT"/>
        </w:rPr>
        <w:t>Kukunuri</w:t>
      </w:r>
      <w:proofErr w:type="spellEnd"/>
      <w:r w:rsidRPr="00FF07D8">
        <w:rPr>
          <w:lang w:val="it-IT"/>
        </w:rPr>
        <w:t xml:space="preserve">, S.; Jeong, S.; et al. </w:t>
      </w:r>
      <w:r w:rsidRPr="00FF07D8">
        <w:t xml:space="preserve">Disordered photonics behavior from terahertz to ultraviolet of a three-dimensional graphene network. </w:t>
      </w:r>
      <w:r w:rsidRPr="00B83F8F">
        <w:rPr>
          <w:i/>
          <w:iCs/>
        </w:rPr>
        <w:t>NPG Asia Mater</w:t>
      </w:r>
      <w:r w:rsidRPr="00FF07D8">
        <w:t>.</w:t>
      </w:r>
      <w:r w:rsidRPr="00B83F8F">
        <w:rPr>
          <w:b/>
          <w:bCs/>
        </w:rPr>
        <w:t xml:space="preserve"> 2021</w:t>
      </w:r>
      <w:r w:rsidRPr="00FF07D8">
        <w:t xml:space="preserve">, </w:t>
      </w:r>
      <w:r w:rsidRPr="00B83F8F">
        <w:rPr>
          <w:i/>
          <w:iCs/>
        </w:rPr>
        <w:t>13</w:t>
      </w:r>
      <w:r w:rsidRPr="00FF07D8">
        <w:t>, 73.</w:t>
      </w:r>
    </w:p>
    <w:p w14:paraId="3A2FA0CE" w14:textId="5CFEBD80" w:rsidR="00FF07D8" w:rsidRDefault="00FF07D8" w:rsidP="00F511FF">
      <w:pPr>
        <w:pStyle w:val="MDPI71References"/>
        <w:numPr>
          <w:ilvl w:val="0"/>
          <w:numId w:val="3"/>
        </w:numPr>
        <w:ind w:left="425" w:hanging="425"/>
      </w:pPr>
      <w:r w:rsidRPr="00FF07D8">
        <w:t xml:space="preserve">Rau, J.V.; Fadeeva, I.V.; </w:t>
      </w:r>
      <w:proofErr w:type="spellStart"/>
      <w:r w:rsidRPr="00FF07D8">
        <w:t>Forysenkova</w:t>
      </w:r>
      <w:proofErr w:type="spellEnd"/>
      <w:r w:rsidRPr="00FF07D8">
        <w:t xml:space="preserve">, A.A.; Davydova, G.A.; </w:t>
      </w:r>
      <w:proofErr w:type="spellStart"/>
      <w:r w:rsidRPr="00FF07D8">
        <w:t>Fosca</w:t>
      </w:r>
      <w:proofErr w:type="spellEnd"/>
      <w:r w:rsidRPr="00FF07D8">
        <w:t xml:space="preserve">, M.; Filippov, Y.Y.; </w:t>
      </w:r>
      <w:proofErr w:type="spellStart"/>
      <w:r w:rsidRPr="00FF07D8">
        <w:t>Antoniac</w:t>
      </w:r>
      <w:proofErr w:type="spellEnd"/>
      <w:r w:rsidRPr="00FF07D8">
        <w:t xml:space="preserve">, I.V.; </w:t>
      </w:r>
      <w:proofErr w:type="spellStart"/>
      <w:r w:rsidRPr="00FF07D8">
        <w:t>Antoniac</w:t>
      </w:r>
      <w:proofErr w:type="spellEnd"/>
      <w:r w:rsidRPr="00FF07D8">
        <w:t xml:space="preserve">, A.; D’Arco, A.; Di Fabrizio, M.; et al. Strontium substituted tricalcium phosphate bone cement: Short and long-term time-resolved studies and in vitro properties. </w:t>
      </w:r>
      <w:r w:rsidRPr="00B83F8F">
        <w:rPr>
          <w:i/>
          <w:iCs/>
        </w:rPr>
        <w:t>Adv. Mater. Interfaces</w:t>
      </w:r>
      <w:r w:rsidRPr="00FF07D8">
        <w:t xml:space="preserve"> </w:t>
      </w:r>
      <w:r w:rsidRPr="00B83F8F">
        <w:rPr>
          <w:b/>
          <w:bCs/>
        </w:rPr>
        <w:t>2022</w:t>
      </w:r>
      <w:r w:rsidRPr="00FF07D8">
        <w:t xml:space="preserve">, </w:t>
      </w:r>
      <w:r w:rsidRPr="00B83F8F">
        <w:rPr>
          <w:i/>
          <w:iCs/>
        </w:rPr>
        <w:t>9</w:t>
      </w:r>
      <w:r w:rsidRPr="00FF07D8">
        <w:t>, 2200803.</w:t>
      </w:r>
    </w:p>
    <w:p w14:paraId="50FC36D1" w14:textId="078A4C82" w:rsidR="00FF07D8" w:rsidRDefault="00FF07D8" w:rsidP="00F511FF">
      <w:pPr>
        <w:pStyle w:val="MDPI71References"/>
        <w:numPr>
          <w:ilvl w:val="0"/>
          <w:numId w:val="3"/>
        </w:numPr>
        <w:ind w:left="425" w:hanging="425"/>
      </w:pPr>
      <w:proofErr w:type="spellStart"/>
      <w:r w:rsidRPr="00FF07D8">
        <w:t>Grazianetti</w:t>
      </w:r>
      <w:proofErr w:type="spellEnd"/>
      <w:r w:rsidRPr="00FF07D8">
        <w:t xml:space="preserve">, C.; Bonaventura, E.; Martella, C.; </w:t>
      </w:r>
      <w:proofErr w:type="spellStart"/>
      <w:r w:rsidRPr="00FF07D8">
        <w:t>Molle</w:t>
      </w:r>
      <w:proofErr w:type="spellEnd"/>
      <w:r w:rsidRPr="00FF07D8">
        <w:t xml:space="preserve">, A.; Lupi, S. Optical Properties of </w:t>
      </w:r>
      <w:proofErr w:type="spellStart"/>
      <w:r w:rsidRPr="00FF07D8">
        <w:t>Stanene</w:t>
      </w:r>
      <w:proofErr w:type="spellEnd"/>
      <w:r w:rsidRPr="00FF07D8">
        <w:t xml:space="preserve">-like Nanosheets on Al2O3: Implications for Xene Photonics. </w:t>
      </w:r>
      <w:r w:rsidRPr="00B83F8F">
        <w:rPr>
          <w:i/>
          <w:iCs/>
        </w:rPr>
        <w:t>ACS Appl. Nano Mater</w:t>
      </w:r>
      <w:r w:rsidRPr="00FF07D8">
        <w:t xml:space="preserve">. </w:t>
      </w:r>
      <w:r w:rsidRPr="00B83F8F">
        <w:rPr>
          <w:b/>
          <w:bCs/>
        </w:rPr>
        <w:t>2021</w:t>
      </w:r>
      <w:r w:rsidRPr="00FF07D8">
        <w:t xml:space="preserve">, </w:t>
      </w:r>
      <w:r w:rsidRPr="00B83F8F">
        <w:rPr>
          <w:i/>
          <w:iCs/>
        </w:rPr>
        <w:t>4</w:t>
      </w:r>
      <w:r w:rsidRPr="00FF07D8">
        <w:t>, 2351–2356.</w:t>
      </w:r>
    </w:p>
    <w:p w14:paraId="58074217" w14:textId="77777777" w:rsidR="00FF07D8" w:rsidRDefault="00FF07D8" w:rsidP="00FF07D8">
      <w:pPr>
        <w:pStyle w:val="MDPI71References"/>
        <w:numPr>
          <w:ilvl w:val="0"/>
          <w:numId w:val="3"/>
        </w:numPr>
        <w:ind w:left="425" w:hanging="425"/>
      </w:pPr>
      <w:r w:rsidRPr="00FF07D8">
        <w:lastRenderedPageBreak/>
        <w:t xml:space="preserve">D’Arco, A.; Mussi, V.; Petrov, S.; Tofani, S.; Petrarca, M.; </w:t>
      </w:r>
      <w:proofErr w:type="spellStart"/>
      <w:r w:rsidRPr="00FF07D8">
        <w:t>Beccherelli</w:t>
      </w:r>
      <w:proofErr w:type="spellEnd"/>
      <w:r w:rsidRPr="00FF07D8">
        <w:t xml:space="preserve">, R.; Dimitrov, D.; Marinova, V.; Lupi, S.; </w:t>
      </w:r>
      <w:proofErr w:type="spellStart"/>
      <w:r w:rsidRPr="00FF07D8">
        <w:t>Zografopoulos</w:t>
      </w:r>
      <w:proofErr w:type="spellEnd"/>
      <w:r w:rsidRPr="00FF07D8">
        <w:t xml:space="preserve">, D. Fabrication and spectroscopic characterization of graphene transparent electrodes on flexible cyclo-olefin substrates for terahertz electro-optic applications. </w:t>
      </w:r>
      <w:r w:rsidRPr="00A71DE4">
        <w:rPr>
          <w:i/>
          <w:iCs/>
        </w:rPr>
        <w:t>Nanotechnology</w:t>
      </w:r>
      <w:r w:rsidRPr="00FF07D8">
        <w:t xml:space="preserve"> </w:t>
      </w:r>
      <w:r w:rsidRPr="00A71DE4">
        <w:rPr>
          <w:b/>
          <w:bCs/>
        </w:rPr>
        <w:t>2020</w:t>
      </w:r>
      <w:r w:rsidRPr="00FF07D8">
        <w:t xml:space="preserve">, </w:t>
      </w:r>
      <w:r w:rsidRPr="00A71DE4">
        <w:rPr>
          <w:i/>
          <w:iCs/>
        </w:rPr>
        <w:t>31</w:t>
      </w:r>
      <w:r w:rsidRPr="00FF07D8">
        <w:t>, 364006.</w:t>
      </w:r>
    </w:p>
    <w:p w14:paraId="155CE299" w14:textId="77777777" w:rsidR="00FF07D8" w:rsidRDefault="00FF07D8" w:rsidP="00FF07D8">
      <w:pPr>
        <w:pStyle w:val="MDPI71References"/>
        <w:numPr>
          <w:ilvl w:val="0"/>
          <w:numId w:val="3"/>
        </w:numPr>
        <w:ind w:left="425" w:hanging="425"/>
      </w:pPr>
      <w:r w:rsidRPr="00877D7D">
        <w:rPr>
          <w:lang w:val="it-IT"/>
        </w:rPr>
        <w:t xml:space="preserve">D’Arco, A.; Di Fabrizio, M.; Dolci, V.; Petrarca, M.; Lupi, S. </w:t>
      </w:r>
      <w:proofErr w:type="spellStart"/>
      <w:r w:rsidRPr="00877D7D">
        <w:rPr>
          <w:lang w:val="it-IT"/>
        </w:rPr>
        <w:t>THz</w:t>
      </w:r>
      <w:proofErr w:type="spellEnd"/>
      <w:r w:rsidRPr="00877D7D">
        <w:rPr>
          <w:lang w:val="it-IT"/>
        </w:rPr>
        <w:t xml:space="preserve"> </w:t>
      </w:r>
      <w:proofErr w:type="spellStart"/>
      <w:r w:rsidRPr="00877D7D">
        <w:rPr>
          <w:lang w:val="it-IT"/>
        </w:rPr>
        <w:t>pulsed</w:t>
      </w:r>
      <w:proofErr w:type="spellEnd"/>
      <w:r w:rsidRPr="00877D7D">
        <w:rPr>
          <w:lang w:val="it-IT"/>
        </w:rPr>
        <w:t xml:space="preserve"> imaging in </w:t>
      </w:r>
      <w:proofErr w:type="spellStart"/>
      <w:r w:rsidRPr="00877D7D">
        <w:rPr>
          <w:lang w:val="it-IT"/>
        </w:rPr>
        <w:t>biomedical</w:t>
      </w:r>
      <w:proofErr w:type="spellEnd"/>
      <w:r w:rsidRPr="00877D7D">
        <w:rPr>
          <w:lang w:val="it-IT"/>
        </w:rPr>
        <w:t xml:space="preserve"> </w:t>
      </w:r>
      <w:proofErr w:type="spellStart"/>
      <w:r w:rsidRPr="00877D7D">
        <w:rPr>
          <w:lang w:val="it-IT"/>
        </w:rPr>
        <w:t>applications</w:t>
      </w:r>
      <w:proofErr w:type="spellEnd"/>
      <w:r w:rsidRPr="00877D7D">
        <w:rPr>
          <w:lang w:val="it-IT"/>
        </w:rPr>
        <w:t xml:space="preserve">. </w:t>
      </w:r>
      <w:proofErr w:type="spellStart"/>
      <w:r w:rsidRPr="00625625">
        <w:rPr>
          <w:i/>
          <w:iCs/>
        </w:rPr>
        <w:t>Condens</w:t>
      </w:r>
      <w:proofErr w:type="spellEnd"/>
      <w:r w:rsidRPr="00625625">
        <w:rPr>
          <w:i/>
          <w:iCs/>
        </w:rPr>
        <w:t xml:space="preserve">. Matter </w:t>
      </w:r>
      <w:r w:rsidRPr="00625625">
        <w:rPr>
          <w:b/>
          <w:bCs/>
        </w:rPr>
        <w:t>2020</w:t>
      </w:r>
      <w:r>
        <w:t xml:space="preserve">, </w:t>
      </w:r>
      <w:r w:rsidRPr="00625625">
        <w:rPr>
          <w:i/>
          <w:iCs/>
        </w:rPr>
        <w:t>5</w:t>
      </w:r>
      <w:r>
        <w:t xml:space="preserve">, 25. </w:t>
      </w:r>
    </w:p>
    <w:p w14:paraId="7AF4A281" w14:textId="1BC5FBE3" w:rsidR="00FF07D8" w:rsidRDefault="00FF07D8" w:rsidP="00FF07D8">
      <w:pPr>
        <w:pStyle w:val="MDPI71References"/>
        <w:numPr>
          <w:ilvl w:val="0"/>
          <w:numId w:val="3"/>
        </w:numPr>
        <w:ind w:left="425" w:hanging="425"/>
      </w:pPr>
      <w:r>
        <w:t xml:space="preserve">Di Fabrizio, M.; D’Arco, A.; Mou, S.; Palumbo, L.; Petrarca, M.; Lupi, S. Performance evaluation of a THz pulsed imaging system: Point spread function, broadband THz beam visualization and image reconstruction. </w:t>
      </w:r>
      <w:r w:rsidRPr="00625625">
        <w:rPr>
          <w:i/>
          <w:iCs/>
        </w:rPr>
        <w:t>Appl. Sci.</w:t>
      </w:r>
      <w:r>
        <w:t xml:space="preserve"> </w:t>
      </w:r>
      <w:r w:rsidRPr="00625625">
        <w:rPr>
          <w:b/>
          <w:bCs/>
        </w:rPr>
        <w:t>2021</w:t>
      </w:r>
      <w:r>
        <w:t xml:space="preserve">, </w:t>
      </w:r>
      <w:r w:rsidRPr="00625625">
        <w:rPr>
          <w:i/>
          <w:iCs/>
        </w:rPr>
        <w:t>11</w:t>
      </w:r>
      <w:r>
        <w:t>, 562.</w:t>
      </w:r>
    </w:p>
    <w:p w14:paraId="3E4AFF99" w14:textId="1C597E5C" w:rsidR="009123A3" w:rsidRDefault="005730AA" w:rsidP="00F511FF">
      <w:pPr>
        <w:pStyle w:val="MDPI71References"/>
        <w:numPr>
          <w:ilvl w:val="0"/>
          <w:numId w:val="3"/>
        </w:numPr>
        <w:ind w:left="425" w:hanging="425"/>
      </w:pPr>
      <w:proofErr w:type="spellStart"/>
      <w:r w:rsidRPr="005730AA">
        <w:t>Fardelli</w:t>
      </w:r>
      <w:proofErr w:type="spellEnd"/>
      <w:r w:rsidRPr="005730AA">
        <w:t xml:space="preserve">, E.; D’Arco, A.; Lupi, S.; Billi, D.; Moeller, R.; </w:t>
      </w:r>
      <w:proofErr w:type="spellStart"/>
      <w:r w:rsidRPr="005730AA">
        <w:t>Cestelli</w:t>
      </w:r>
      <w:proofErr w:type="spellEnd"/>
      <w:r w:rsidRPr="005730AA">
        <w:t xml:space="preserve"> Guidi, M. Spectroscopic evidence of the </w:t>
      </w:r>
      <w:proofErr w:type="spellStart"/>
      <w:r w:rsidRPr="005730AA">
        <w:t>radioresistance</w:t>
      </w:r>
      <w:proofErr w:type="spellEnd"/>
      <w:r w:rsidRPr="005730AA">
        <w:t xml:space="preserve"> of </w:t>
      </w:r>
      <w:proofErr w:type="spellStart"/>
      <w:r w:rsidRPr="005730AA">
        <w:t>Chroococcidiopsis</w:t>
      </w:r>
      <w:proofErr w:type="spellEnd"/>
      <w:r w:rsidRPr="005730AA">
        <w:t xml:space="preserve"> biosignatures: A combined Raman, FT-IR and THz-TDs spectroscopy study. </w:t>
      </w:r>
      <w:proofErr w:type="spellStart"/>
      <w:r w:rsidRPr="00625625">
        <w:rPr>
          <w:i/>
          <w:iCs/>
        </w:rPr>
        <w:t>Spectrochim</w:t>
      </w:r>
      <w:proofErr w:type="spellEnd"/>
      <w:r w:rsidRPr="00625625">
        <w:rPr>
          <w:i/>
          <w:iCs/>
        </w:rPr>
        <w:t xml:space="preserve">. Acta Part A Mol. </w:t>
      </w:r>
      <w:proofErr w:type="spellStart"/>
      <w:r w:rsidRPr="00625625">
        <w:rPr>
          <w:i/>
          <w:iCs/>
        </w:rPr>
        <w:t>Biomol</w:t>
      </w:r>
      <w:proofErr w:type="spellEnd"/>
      <w:r w:rsidRPr="00625625">
        <w:rPr>
          <w:i/>
          <w:iCs/>
        </w:rPr>
        <w:t xml:space="preserve">. </w:t>
      </w:r>
      <w:proofErr w:type="spellStart"/>
      <w:r w:rsidRPr="00625625">
        <w:rPr>
          <w:i/>
          <w:iCs/>
        </w:rPr>
        <w:t>Spectrosc</w:t>
      </w:r>
      <w:proofErr w:type="spellEnd"/>
      <w:r w:rsidRPr="00625625">
        <w:rPr>
          <w:i/>
          <w:iCs/>
        </w:rPr>
        <w:t>.</w:t>
      </w:r>
      <w:r w:rsidRPr="005730AA">
        <w:t xml:space="preserve"> </w:t>
      </w:r>
      <w:r w:rsidRPr="00625625">
        <w:rPr>
          <w:b/>
          <w:bCs/>
        </w:rPr>
        <w:t>2023</w:t>
      </w:r>
      <w:r w:rsidRPr="005730AA">
        <w:t xml:space="preserve">, </w:t>
      </w:r>
      <w:r w:rsidRPr="00625625">
        <w:rPr>
          <w:i/>
          <w:iCs/>
        </w:rPr>
        <w:t>288,</w:t>
      </w:r>
      <w:r w:rsidRPr="005730AA">
        <w:t xml:space="preserve"> 122148.</w:t>
      </w:r>
    </w:p>
    <w:p w14:paraId="3ABF295D" w14:textId="30FBA476" w:rsidR="005730AA" w:rsidRDefault="00625625" w:rsidP="00F511FF">
      <w:pPr>
        <w:pStyle w:val="MDPI71References"/>
        <w:numPr>
          <w:ilvl w:val="0"/>
          <w:numId w:val="3"/>
        </w:numPr>
        <w:ind w:left="425" w:hanging="425"/>
      </w:pPr>
      <w:r w:rsidRPr="00625625">
        <w:t xml:space="preserve">Manti, L.; D’Arco, A. Cooperative biological effects between ionizing radiation and other physical and chemical agents. </w:t>
      </w:r>
      <w:proofErr w:type="spellStart"/>
      <w:r w:rsidRPr="00625625">
        <w:rPr>
          <w:i/>
          <w:iCs/>
        </w:rPr>
        <w:t>Mutat</w:t>
      </w:r>
      <w:proofErr w:type="spellEnd"/>
      <w:r w:rsidRPr="00625625">
        <w:rPr>
          <w:i/>
          <w:iCs/>
        </w:rPr>
        <w:t xml:space="preserve">. Res. Rev. </w:t>
      </w:r>
      <w:proofErr w:type="spellStart"/>
      <w:r w:rsidRPr="00625625">
        <w:rPr>
          <w:i/>
          <w:iCs/>
        </w:rPr>
        <w:t>Mutat</w:t>
      </w:r>
      <w:proofErr w:type="spellEnd"/>
      <w:r w:rsidRPr="00625625">
        <w:rPr>
          <w:i/>
          <w:iCs/>
        </w:rPr>
        <w:t>. Res.</w:t>
      </w:r>
      <w:r w:rsidRPr="00625625">
        <w:t xml:space="preserve"> </w:t>
      </w:r>
      <w:r w:rsidRPr="00625625">
        <w:rPr>
          <w:b/>
          <w:bCs/>
        </w:rPr>
        <w:t>2010</w:t>
      </w:r>
      <w:r w:rsidRPr="00625625">
        <w:t xml:space="preserve">, </w:t>
      </w:r>
      <w:r w:rsidRPr="00625625">
        <w:rPr>
          <w:i/>
          <w:iCs/>
        </w:rPr>
        <w:t>704</w:t>
      </w:r>
      <w:r w:rsidRPr="00625625">
        <w:t>, 115–122.</w:t>
      </w:r>
    </w:p>
    <w:p w14:paraId="57A67FA7" w14:textId="5DFBEF87" w:rsidR="007C62AA" w:rsidRDefault="007C62AA" w:rsidP="00F511FF">
      <w:pPr>
        <w:pStyle w:val="MDPI71References"/>
        <w:numPr>
          <w:ilvl w:val="0"/>
          <w:numId w:val="3"/>
        </w:numPr>
        <w:ind w:left="425" w:hanging="425"/>
      </w:pPr>
      <w:r w:rsidRPr="007C62AA">
        <w:rPr>
          <w:lang w:val="nl-NL"/>
        </w:rPr>
        <w:t>Lee, DK.</w:t>
      </w:r>
      <w:r>
        <w:rPr>
          <w:lang w:val="nl-NL"/>
        </w:rPr>
        <w:t>;</w:t>
      </w:r>
      <w:r w:rsidRPr="007C62AA">
        <w:rPr>
          <w:lang w:val="nl-NL"/>
        </w:rPr>
        <w:t xml:space="preserve"> Kang, JH.</w:t>
      </w:r>
      <w:r>
        <w:rPr>
          <w:lang w:val="nl-NL"/>
        </w:rPr>
        <w:t>;</w:t>
      </w:r>
      <w:r w:rsidRPr="007C62AA">
        <w:rPr>
          <w:lang w:val="nl-NL"/>
        </w:rPr>
        <w:t xml:space="preserve"> Kwon, J. et al. </w:t>
      </w:r>
      <w:r w:rsidRPr="007C62AA">
        <w:t xml:space="preserve">Nano metamaterials for ultrasensitive Terahertz biosensing. </w:t>
      </w:r>
      <w:r w:rsidRPr="007C62AA">
        <w:rPr>
          <w:i/>
          <w:iCs/>
        </w:rPr>
        <w:t>Sci</w:t>
      </w:r>
      <w:r>
        <w:rPr>
          <w:i/>
          <w:iCs/>
        </w:rPr>
        <w:t>.</w:t>
      </w:r>
      <w:r w:rsidRPr="007C62AA">
        <w:rPr>
          <w:i/>
          <w:iCs/>
        </w:rPr>
        <w:t xml:space="preserve"> Rep</w:t>
      </w:r>
      <w:r>
        <w:rPr>
          <w:i/>
          <w:iCs/>
        </w:rPr>
        <w:t xml:space="preserve">. </w:t>
      </w:r>
      <w:r w:rsidRPr="007C62AA">
        <w:rPr>
          <w:b/>
          <w:bCs/>
        </w:rPr>
        <w:t>2017</w:t>
      </w:r>
      <w:r>
        <w:t>,</w:t>
      </w:r>
      <w:r w:rsidRPr="007C62AA">
        <w:t xml:space="preserve"> </w:t>
      </w:r>
      <w:r w:rsidRPr="007C62AA">
        <w:rPr>
          <w:i/>
          <w:iCs/>
        </w:rPr>
        <w:t>7</w:t>
      </w:r>
      <w:r w:rsidRPr="007C62AA">
        <w:t>, 8146.</w:t>
      </w:r>
    </w:p>
    <w:p w14:paraId="32E9C866" w14:textId="77777777" w:rsidR="00AC76CA" w:rsidRPr="00B83F8F" w:rsidRDefault="00AC76CA" w:rsidP="00B83F8F">
      <w:pPr>
        <w:pStyle w:val="MDPI71References"/>
        <w:numPr>
          <w:ilvl w:val="0"/>
          <w:numId w:val="0"/>
        </w:numPr>
        <w:ind w:left="425"/>
      </w:pPr>
    </w:p>
    <w:sectPr w:rsidR="00AC76CA" w:rsidRPr="00B83F8F">
      <w:headerReference w:type="default" r:id="rId14"/>
      <w:pgSz w:w="12240" w:h="15840"/>
      <w:pgMar w:top="1440" w:right="1433"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CD6290" w14:textId="77777777" w:rsidR="00544237" w:rsidRDefault="00544237" w:rsidP="00AC76CA">
      <w:pPr>
        <w:spacing w:line="240" w:lineRule="auto"/>
      </w:pPr>
      <w:r>
        <w:separator/>
      </w:r>
    </w:p>
  </w:endnote>
  <w:endnote w:type="continuationSeparator" w:id="0">
    <w:p w14:paraId="5655E5DE" w14:textId="77777777" w:rsidR="00544237" w:rsidRDefault="00544237" w:rsidP="00AC76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DB409D" w14:textId="77777777" w:rsidR="00544237" w:rsidRDefault="00544237" w:rsidP="00AC76CA">
      <w:pPr>
        <w:spacing w:line="240" w:lineRule="auto"/>
      </w:pPr>
      <w:r>
        <w:separator/>
      </w:r>
    </w:p>
  </w:footnote>
  <w:footnote w:type="continuationSeparator" w:id="0">
    <w:p w14:paraId="64ADD938" w14:textId="77777777" w:rsidR="00544237" w:rsidRDefault="00544237" w:rsidP="00AC76C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3F032" w14:textId="6B0B2E7B" w:rsidR="00AC76CA" w:rsidRDefault="00AC76CA">
    <w:pPr>
      <w:pStyle w:val="Intestazione"/>
    </w:pPr>
    <w:r>
      <w:rPr>
        <w:noProof/>
      </w:rPr>
      <w:drawing>
        <wp:anchor distT="0" distB="0" distL="114300" distR="114300" simplePos="0" relativeHeight="251659264" behindDoc="1" locked="0" layoutInCell="1" allowOverlap="1" wp14:anchorId="27030292" wp14:editId="15DE3051">
          <wp:simplePos x="0" y="0"/>
          <wp:positionH relativeFrom="column">
            <wp:posOffset>-655320</wp:posOffset>
          </wp:positionH>
          <wp:positionV relativeFrom="paragraph">
            <wp:posOffset>-304800</wp:posOffset>
          </wp:positionV>
          <wp:extent cx="548640" cy="546532"/>
          <wp:effectExtent l="0" t="0" r="3810" b="6350"/>
          <wp:wrapNone/>
          <wp:docPr id="267165490"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165490" name="Picture 2" descr="A black background with a black squar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flipH="1">
                    <a:off x="0" y="0"/>
                    <a:ext cx="548640" cy="54653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76497123" wp14:editId="78444564">
          <wp:simplePos x="0" y="0"/>
          <wp:positionH relativeFrom="column">
            <wp:posOffset>5166360</wp:posOffset>
          </wp:positionH>
          <wp:positionV relativeFrom="paragraph">
            <wp:posOffset>-297180</wp:posOffset>
          </wp:positionV>
          <wp:extent cx="1434997" cy="525780"/>
          <wp:effectExtent l="0" t="0" r="0" b="0"/>
          <wp:wrapNone/>
          <wp:docPr id="504592895" name="Picture 1" descr="A blue line with a sun and a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92895" name="Picture 1" descr="A blue line with a sun and a boa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434997" cy="5257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B43100"/>
    <w:multiLevelType w:val="hybridMultilevel"/>
    <w:tmpl w:val="5A527460"/>
    <w:lvl w:ilvl="0" w:tplc="ECF4CABA">
      <w:start w:val="1"/>
      <w:numFmt w:val="decimal"/>
      <w:lvlText w:val="%1"/>
      <w:lvlJc w:val="left"/>
      <w:pPr>
        <w:ind w:left="1070" w:hanging="710"/>
      </w:pPr>
      <w:rPr>
        <w:rFonts w:ascii="Times New Roman" w:eastAsia="Times New Roman" w:hAnsi="Times New Roman" w:cs="Times New Roman"/>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C7D0122"/>
    <w:multiLevelType w:val="hybridMultilevel"/>
    <w:tmpl w:val="3F40E5BC"/>
    <w:lvl w:ilvl="0" w:tplc="368E3CC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56E0613"/>
    <w:multiLevelType w:val="hybridMultilevel"/>
    <w:tmpl w:val="D6FE840E"/>
    <w:lvl w:ilvl="0" w:tplc="0F326A84">
      <w:start w:val="2"/>
      <w:numFmt w:val="decimal"/>
      <w:lvlText w:val="%1"/>
      <w:lvlJc w:val="left"/>
      <w:pPr>
        <w:ind w:left="1430" w:hanging="360"/>
      </w:pPr>
      <w:rPr>
        <w:rFonts w:hint="default"/>
      </w:rPr>
    </w:lvl>
    <w:lvl w:ilvl="1" w:tplc="04100019" w:tentative="1">
      <w:start w:val="1"/>
      <w:numFmt w:val="lowerLetter"/>
      <w:lvlText w:val="%2."/>
      <w:lvlJc w:val="left"/>
      <w:pPr>
        <w:ind w:left="2150" w:hanging="360"/>
      </w:pPr>
    </w:lvl>
    <w:lvl w:ilvl="2" w:tplc="0410001B" w:tentative="1">
      <w:start w:val="1"/>
      <w:numFmt w:val="lowerRoman"/>
      <w:lvlText w:val="%3."/>
      <w:lvlJc w:val="right"/>
      <w:pPr>
        <w:ind w:left="2870" w:hanging="180"/>
      </w:pPr>
    </w:lvl>
    <w:lvl w:ilvl="3" w:tplc="0410000F" w:tentative="1">
      <w:start w:val="1"/>
      <w:numFmt w:val="decimal"/>
      <w:lvlText w:val="%4."/>
      <w:lvlJc w:val="left"/>
      <w:pPr>
        <w:ind w:left="3590" w:hanging="360"/>
      </w:pPr>
    </w:lvl>
    <w:lvl w:ilvl="4" w:tplc="04100019" w:tentative="1">
      <w:start w:val="1"/>
      <w:numFmt w:val="lowerLetter"/>
      <w:lvlText w:val="%5."/>
      <w:lvlJc w:val="left"/>
      <w:pPr>
        <w:ind w:left="4310" w:hanging="360"/>
      </w:pPr>
    </w:lvl>
    <w:lvl w:ilvl="5" w:tplc="0410001B" w:tentative="1">
      <w:start w:val="1"/>
      <w:numFmt w:val="lowerRoman"/>
      <w:lvlText w:val="%6."/>
      <w:lvlJc w:val="right"/>
      <w:pPr>
        <w:ind w:left="5030" w:hanging="180"/>
      </w:pPr>
    </w:lvl>
    <w:lvl w:ilvl="6" w:tplc="0410000F" w:tentative="1">
      <w:start w:val="1"/>
      <w:numFmt w:val="decimal"/>
      <w:lvlText w:val="%7."/>
      <w:lvlJc w:val="left"/>
      <w:pPr>
        <w:ind w:left="5750" w:hanging="360"/>
      </w:pPr>
    </w:lvl>
    <w:lvl w:ilvl="7" w:tplc="04100019" w:tentative="1">
      <w:start w:val="1"/>
      <w:numFmt w:val="lowerLetter"/>
      <w:lvlText w:val="%8."/>
      <w:lvlJc w:val="left"/>
      <w:pPr>
        <w:ind w:left="6470" w:hanging="360"/>
      </w:pPr>
    </w:lvl>
    <w:lvl w:ilvl="8" w:tplc="0410001B" w:tentative="1">
      <w:start w:val="1"/>
      <w:numFmt w:val="lowerRoman"/>
      <w:lvlText w:val="%9."/>
      <w:lvlJc w:val="right"/>
      <w:pPr>
        <w:ind w:left="7190" w:hanging="180"/>
      </w:pPr>
    </w:lvl>
  </w:abstractNum>
  <w:abstractNum w:abstractNumId="4" w15:restartNumberingAfterBreak="0">
    <w:nsid w:val="40AE0DBE"/>
    <w:multiLevelType w:val="hybridMultilevel"/>
    <w:tmpl w:val="BDBC7A18"/>
    <w:lvl w:ilvl="0" w:tplc="5762DA6A">
      <w:start w:val="1"/>
      <w:numFmt w:val="decimal"/>
      <w:lvlText w:val="%1"/>
      <w:lvlJc w:val="left"/>
      <w:pPr>
        <w:ind w:left="1430" w:hanging="360"/>
      </w:pPr>
      <w:rPr>
        <w:rFonts w:hint="default"/>
      </w:rPr>
    </w:lvl>
    <w:lvl w:ilvl="1" w:tplc="04100019" w:tentative="1">
      <w:start w:val="1"/>
      <w:numFmt w:val="lowerLetter"/>
      <w:lvlText w:val="%2."/>
      <w:lvlJc w:val="left"/>
      <w:pPr>
        <w:ind w:left="2150" w:hanging="360"/>
      </w:pPr>
    </w:lvl>
    <w:lvl w:ilvl="2" w:tplc="0410001B" w:tentative="1">
      <w:start w:val="1"/>
      <w:numFmt w:val="lowerRoman"/>
      <w:lvlText w:val="%3."/>
      <w:lvlJc w:val="right"/>
      <w:pPr>
        <w:ind w:left="2870" w:hanging="180"/>
      </w:pPr>
    </w:lvl>
    <w:lvl w:ilvl="3" w:tplc="0410000F" w:tentative="1">
      <w:start w:val="1"/>
      <w:numFmt w:val="decimal"/>
      <w:lvlText w:val="%4."/>
      <w:lvlJc w:val="left"/>
      <w:pPr>
        <w:ind w:left="3590" w:hanging="360"/>
      </w:pPr>
    </w:lvl>
    <w:lvl w:ilvl="4" w:tplc="04100019" w:tentative="1">
      <w:start w:val="1"/>
      <w:numFmt w:val="lowerLetter"/>
      <w:lvlText w:val="%5."/>
      <w:lvlJc w:val="left"/>
      <w:pPr>
        <w:ind w:left="4310" w:hanging="360"/>
      </w:pPr>
    </w:lvl>
    <w:lvl w:ilvl="5" w:tplc="0410001B" w:tentative="1">
      <w:start w:val="1"/>
      <w:numFmt w:val="lowerRoman"/>
      <w:lvlText w:val="%6."/>
      <w:lvlJc w:val="right"/>
      <w:pPr>
        <w:ind w:left="5030" w:hanging="180"/>
      </w:pPr>
    </w:lvl>
    <w:lvl w:ilvl="6" w:tplc="0410000F" w:tentative="1">
      <w:start w:val="1"/>
      <w:numFmt w:val="decimal"/>
      <w:lvlText w:val="%7."/>
      <w:lvlJc w:val="left"/>
      <w:pPr>
        <w:ind w:left="5750" w:hanging="360"/>
      </w:pPr>
    </w:lvl>
    <w:lvl w:ilvl="7" w:tplc="04100019" w:tentative="1">
      <w:start w:val="1"/>
      <w:numFmt w:val="lowerLetter"/>
      <w:lvlText w:val="%8."/>
      <w:lvlJc w:val="left"/>
      <w:pPr>
        <w:ind w:left="6470" w:hanging="360"/>
      </w:pPr>
    </w:lvl>
    <w:lvl w:ilvl="8" w:tplc="0410001B" w:tentative="1">
      <w:start w:val="1"/>
      <w:numFmt w:val="lowerRoman"/>
      <w:lvlText w:val="%9."/>
      <w:lvlJc w:val="right"/>
      <w:pPr>
        <w:ind w:left="7190" w:hanging="180"/>
      </w:pPr>
    </w:lvl>
  </w:abstractNum>
  <w:abstractNum w:abstractNumId="5" w15:restartNumberingAfterBreak="0">
    <w:nsid w:val="5F742C34"/>
    <w:multiLevelType w:val="hybridMultilevel"/>
    <w:tmpl w:val="2EAC081C"/>
    <w:lvl w:ilvl="0" w:tplc="FDA2F9AE">
      <w:start w:val="1"/>
      <w:numFmt w:val="decimal"/>
      <w:lvlRestart w:val="0"/>
      <w:pStyle w:val="MDPI7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F7C2AF4"/>
    <w:multiLevelType w:val="hybridMultilevel"/>
    <w:tmpl w:val="D61CAC1E"/>
    <w:lvl w:ilvl="0" w:tplc="2968E540">
      <w:start w:val="1"/>
      <w:numFmt w:val="decimal"/>
      <w:lvlText w:val="[%1]"/>
      <w:lvlJc w:val="left"/>
      <w:pPr>
        <w:ind w:left="720" w:hanging="360"/>
      </w:pPr>
      <w:rPr>
        <w:rFonts w:ascii="Times New Roman" w:hAnsi="Times New Roman" w:cs="Times New Roman" w:hint="default"/>
        <w:b w:val="0"/>
        <w:lang w:val="en-US"/>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2040856646">
    <w:abstractNumId w:val="2"/>
  </w:num>
  <w:num w:numId="2" w16cid:durableId="682635354">
    <w:abstractNumId w:val="6"/>
  </w:num>
  <w:num w:numId="3" w16cid:durableId="173411458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7284984">
    <w:abstractNumId w:val="5"/>
  </w:num>
  <w:num w:numId="5" w16cid:durableId="714697042">
    <w:abstractNumId w:val="1"/>
  </w:num>
  <w:num w:numId="6" w16cid:durableId="1266884176">
    <w:abstractNumId w:val="3"/>
  </w:num>
  <w:num w:numId="7" w16cid:durableId="15021639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4E8C"/>
    <w:rsid w:val="00024B71"/>
    <w:rsid w:val="00044382"/>
    <w:rsid w:val="000948AF"/>
    <w:rsid w:val="000B0D8E"/>
    <w:rsid w:val="000B1AC4"/>
    <w:rsid w:val="0013350A"/>
    <w:rsid w:val="001A6A66"/>
    <w:rsid w:val="001E4DDB"/>
    <w:rsid w:val="00240F9B"/>
    <w:rsid w:val="00245F37"/>
    <w:rsid w:val="00276074"/>
    <w:rsid w:val="002D3F98"/>
    <w:rsid w:val="002D7B3A"/>
    <w:rsid w:val="002E7DD4"/>
    <w:rsid w:val="00360159"/>
    <w:rsid w:val="0036636D"/>
    <w:rsid w:val="003A5DFA"/>
    <w:rsid w:val="003D71F9"/>
    <w:rsid w:val="003F5B83"/>
    <w:rsid w:val="0046513C"/>
    <w:rsid w:val="004855C5"/>
    <w:rsid w:val="004A7E4A"/>
    <w:rsid w:val="004C2BF6"/>
    <w:rsid w:val="004F7391"/>
    <w:rsid w:val="004F7969"/>
    <w:rsid w:val="00544237"/>
    <w:rsid w:val="00547FF4"/>
    <w:rsid w:val="00553F40"/>
    <w:rsid w:val="005730AA"/>
    <w:rsid w:val="00590726"/>
    <w:rsid w:val="00592AED"/>
    <w:rsid w:val="005E4E8C"/>
    <w:rsid w:val="00606F8C"/>
    <w:rsid w:val="00616767"/>
    <w:rsid w:val="00625625"/>
    <w:rsid w:val="006516F5"/>
    <w:rsid w:val="00682AA9"/>
    <w:rsid w:val="006A498D"/>
    <w:rsid w:val="006A532D"/>
    <w:rsid w:val="006A6F73"/>
    <w:rsid w:val="00775FE6"/>
    <w:rsid w:val="007771ED"/>
    <w:rsid w:val="007A378F"/>
    <w:rsid w:val="007C62AA"/>
    <w:rsid w:val="007E0702"/>
    <w:rsid w:val="008377F4"/>
    <w:rsid w:val="00844B1D"/>
    <w:rsid w:val="00877D7D"/>
    <w:rsid w:val="008A25D6"/>
    <w:rsid w:val="008B618B"/>
    <w:rsid w:val="008D262C"/>
    <w:rsid w:val="008D5C27"/>
    <w:rsid w:val="009123A3"/>
    <w:rsid w:val="00944490"/>
    <w:rsid w:val="00964CE0"/>
    <w:rsid w:val="00977A2A"/>
    <w:rsid w:val="0098085B"/>
    <w:rsid w:val="00994940"/>
    <w:rsid w:val="009C659C"/>
    <w:rsid w:val="009D476F"/>
    <w:rsid w:val="009E1C67"/>
    <w:rsid w:val="00A71DE4"/>
    <w:rsid w:val="00A75611"/>
    <w:rsid w:val="00AA6053"/>
    <w:rsid w:val="00AC3FEE"/>
    <w:rsid w:val="00AC4C1E"/>
    <w:rsid w:val="00AC76CA"/>
    <w:rsid w:val="00AD6C6A"/>
    <w:rsid w:val="00AF4CB2"/>
    <w:rsid w:val="00AF65E6"/>
    <w:rsid w:val="00B83F8F"/>
    <w:rsid w:val="00B87FDF"/>
    <w:rsid w:val="00B9242E"/>
    <w:rsid w:val="00B9487F"/>
    <w:rsid w:val="00C03BFF"/>
    <w:rsid w:val="00C217A8"/>
    <w:rsid w:val="00C21861"/>
    <w:rsid w:val="00C30E6E"/>
    <w:rsid w:val="00C93821"/>
    <w:rsid w:val="00CA1683"/>
    <w:rsid w:val="00D56CA3"/>
    <w:rsid w:val="00D66CF3"/>
    <w:rsid w:val="00DA6F7E"/>
    <w:rsid w:val="00DF36F2"/>
    <w:rsid w:val="00E4611E"/>
    <w:rsid w:val="00E631AF"/>
    <w:rsid w:val="00F3537C"/>
    <w:rsid w:val="00F511FF"/>
    <w:rsid w:val="00F77B21"/>
    <w:rsid w:val="00F8368F"/>
    <w:rsid w:val="00FD3023"/>
    <w:rsid w:val="00FE7788"/>
    <w:rsid w:val="00FF07D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E85303"/>
  <w15:docId w15:val="{12D310D7-BE55-F743-BE12-F83CB1368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line="239" w:lineRule="auto"/>
      <w:jc w:val="both"/>
    </w:pPr>
    <w:rPr>
      <w:rFonts w:ascii="Calibri" w:eastAsia="Calibri" w:hAnsi="Calibri" w:cs="Calibri"/>
      <w:color w:val="000000"/>
      <w:sz w:val="22"/>
      <w:lang w:bidi="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9E1C67"/>
    <w:rPr>
      <w:rFonts w:ascii="Times New Roman" w:hAnsi="Times New Roman" w:cs="Times New Roman"/>
      <w:sz w:val="24"/>
    </w:rPr>
  </w:style>
  <w:style w:type="character" w:styleId="Rimandocommento">
    <w:name w:val="annotation reference"/>
    <w:basedOn w:val="Carpredefinitoparagrafo"/>
    <w:uiPriority w:val="99"/>
    <w:semiHidden/>
    <w:unhideWhenUsed/>
    <w:rsid w:val="00590726"/>
    <w:rPr>
      <w:sz w:val="16"/>
      <w:szCs w:val="16"/>
    </w:rPr>
  </w:style>
  <w:style w:type="paragraph" w:styleId="Paragrafoelenco">
    <w:name w:val="List Paragraph"/>
    <w:basedOn w:val="Normale"/>
    <w:uiPriority w:val="34"/>
    <w:qFormat/>
    <w:rsid w:val="00590726"/>
    <w:pPr>
      <w:ind w:left="720"/>
      <w:contextualSpacing/>
    </w:pPr>
  </w:style>
  <w:style w:type="paragraph" w:customStyle="1" w:styleId="MDPI13authornames">
    <w:name w:val="MDPI_1.3_authornames"/>
    <w:next w:val="Normale"/>
    <w:qFormat/>
    <w:rsid w:val="00AC76CA"/>
    <w:pPr>
      <w:adjustRightInd w:val="0"/>
      <w:snapToGrid w:val="0"/>
      <w:spacing w:after="360" w:line="260" w:lineRule="atLeast"/>
    </w:pPr>
    <w:rPr>
      <w:rFonts w:ascii="Palatino Linotype" w:eastAsia="Times New Roman" w:hAnsi="Palatino Linotype" w:cs="Times New Roman"/>
      <w:b/>
      <w:color w:val="000000"/>
      <w:sz w:val="20"/>
      <w:szCs w:val="22"/>
      <w:lang w:val="en-US" w:eastAsia="de-DE" w:bidi="en-US"/>
    </w:rPr>
  </w:style>
  <w:style w:type="paragraph" w:customStyle="1" w:styleId="MDPI16affiliation">
    <w:name w:val="MDPI_1.6_affiliation"/>
    <w:qFormat/>
    <w:rsid w:val="00AC76CA"/>
    <w:pPr>
      <w:adjustRightInd w:val="0"/>
      <w:snapToGrid w:val="0"/>
      <w:spacing w:line="200" w:lineRule="atLeast"/>
      <w:ind w:left="2806" w:hanging="198"/>
    </w:pPr>
    <w:rPr>
      <w:rFonts w:ascii="Palatino Linotype" w:eastAsia="Times New Roman" w:hAnsi="Palatino Linotype" w:cs="Times New Roman"/>
      <w:color w:val="000000"/>
      <w:sz w:val="16"/>
      <w:szCs w:val="18"/>
      <w:lang w:val="en-US" w:eastAsia="de-DE" w:bidi="en-US"/>
    </w:rPr>
  </w:style>
  <w:style w:type="paragraph" w:customStyle="1" w:styleId="MDPI61Citation">
    <w:name w:val="MDPI_6.1_Citation"/>
    <w:qFormat/>
    <w:rsid w:val="00AC76CA"/>
    <w:pPr>
      <w:adjustRightInd w:val="0"/>
      <w:snapToGrid w:val="0"/>
      <w:spacing w:line="240" w:lineRule="atLeast"/>
      <w:ind w:right="113"/>
    </w:pPr>
    <w:rPr>
      <w:rFonts w:ascii="Palatino Linotype" w:eastAsia="SimSun" w:hAnsi="Palatino Linotype" w:cs="Cordia New"/>
      <w:sz w:val="14"/>
      <w:szCs w:val="22"/>
      <w:lang w:val="en-US" w:eastAsia="zh-CN"/>
    </w:rPr>
  </w:style>
  <w:style w:type="paragraph" w:customStyle="1" w:styleId="MDPI72Copyright">
    <w:name w:val="MDPI_7.2_Copyright"/>
    <w:qFormat/>
    <w:rsid w:val="00AC76CA"/>
    <w:pPr>
      <w:adjustRightInd w:val="0"/>
      <w:snapToGrid w:val="0"/>
      <w:spacing w:before="60" w:line="240" w:lineRule="atLeast"/>
      <w:ind w:right="113"/>
      <w:jc w:val="both"/>
    </w:pPr>
    <w:rPr>
      <w:rFonts w:ascii="Palatino Linotype" w:eastAsia="Times New Roman" w:hAnsi="Palatino Linotype" w:cs="Times New Roman"/>
      <w:noProof/>
      <w:snapToGrid w:val="0"/>
      <w:color w:val="000000"/>
      <w:sz w:val="14"/>
      <w:szCs w:val="20"/>
      <w:lang w:val="en-GB" w:eastAsia="en-GB"/>
    </w:rPr>
  </w:style>
  <w:style w:type="paragraph" w:customStyle="1" w:styleId="MDPI31text">
    <w:name w:val="MDPI_3.1_text"/>
    <w:qFormat/>
    <w:rsid w:val="00AC76CA"/>
    <w:pPr>
      <w:adjustRightInd w:val="0"/>
      <w:snapToGrid w:val="0"/>
      <w:spacing w:line="228" w:lineRule="auto"/>
      <w:ind w:left="2608" w:firstLine="425"/>
      <w:jc w:val="both"/>
    </w:pPr>
    <w:rPr>
      <w:rFonts w:ascii="Palatino Linotype" w:eastAsia="Times New Roman" w:hAnsi="Palatino Linotype" w:cs="Times New Roman"/>
      <w:snapToGrid w:val="0"/>
      <w:color w:val="000000"/>
      <w:sz w:val="20"/>
      <w:szCs w:val="22"/>
      <w:lang w:val="en-US" w:eastAsia="de-DE" w:bidi="en-US"/>
    </w:rPr>
  </w:style>
  <w:style w:type="paragraph" w:customStyle="1" w:styleId="MDPI21heading1">
    <w:name w:val="MDPI_2.1_heading1"/>
    <w:qFormat/>
    <w:rsid w:val="00AC76CA"/>
    <w:pPr>
      <w:adjustRightInd w:val="0"/>
      <w:snapToGrid w:val="0"/>
      <w:spacing w:before="240" w:after="60" w:line="228" w:lineRule="auto"/>
      <w:ind w:left="2608"/>
      <w:outlineLvl w:val="0"/>
    </w:pPr>
    <w:rPr>
      <w:rFonts w:ascii="Palatino Linotype" w:eastAsia="Times New Roman" w:hAnsi="Palatino Linotype" w:cs="Times New Roman"/>
      <w:b/>
      <w:snapToGrid w:val="0"/>
      <w:color w:val="000000"/>
      <w:sz w:val="20"/>
      <w:szCs w:val="22"/>
      <w:lang w:val="en-US" w:eastAsia="de-DE" w:bidi="en-US"/>
    </w:rPr>
  </w:style>
  <w:style w:type="paragraph" w:customStyle="1" w:styleId="MDPI51figurecaption">
    <w:name w:val="MDPI_5.1_figure_caption"/>
    <w:qFormat/>
    <w:rsid w:val="00AC76CA"/>
    <w:pPr>
      <w:adjustRightInd w:val="0"/>
      <w:snapToGrid w:val="0"/>
      <w:spacing w:before="120" w:after="240" w:line="228" w:lineRule="auto"/>
      <w:ind w:left="2608"/>
      <w:jc w:val="both"/>
    </w:pPr>
    <w:rPr>
      <w:rFonts w:ascii="Palatino Linotype" w:eastAsia="Times New Roman" w:hAnsi="Palatino Linotype" w:cs="Times New Roman"/>
      <w:color w:val="000000"/>
      <w:sz w:val="18"/>
      <w:szCs w:val="20"/>
      <w:lang w:val="en-US" w:eastAsia="de-DE" w:bidi="en-US"/>
    </w:rPr>
  </w:style>
  <w:style w:type="paragraph" w:customStyle="1" w:styleId="MDPI52figure">
    <w:name w:val="MDPI_5.2_figure"/>
    <w:qFormat/>
    <w:rsid w:val="00AC76CA"/>
    <w:pPr>
      <w:adjustRightInd w:val="0"/>
      <w:snapToGrid w:val="0"/>
      <w:spacing w:before="240" w:after="120"/>
      <w:jc w:val="center"/>
    </w:pPr>
    <w:rPr>
      <w:rFonts w:ascii="Palatino Linotype" w:eastAsia="Times New Roman" w:hAnsi="Palatino Linotype" w:cs="Times New Roman"/>
      <w:snapToGrid w:val="0"/>
      <w:color w:val="000000"/>
      <w:sz w:val="20"/>
      <w:szCs w:val="20"/>
      <w:lang w:val="en-US" w:eastAsia="de-DE" w:bidi="en-US"/>
    </w:rPr>
  </w:style>
  <w:style w:type="paragraph" w:customStyle="1" w:styleId="MDPI22heading2">
    <w:name w:val="MDPI_2.2_heading2"/>
    <w:qFormat/>
    <w:rsid w:val="00AC76CA"/>
    <w:pPr>
      <w:adjustRightInd w:val="0"/>
      <w:snapToGrid w:val="0"/>
      <w:spacing w:before="60" w:after="60" w:line="228" w:lineRule="auto"/>
      <w:ind w:left="2608"/>
      <w:outlineLvl w:val="1"/>
    </w:pPr>
    <w:rPr>
      <w:rFonts w:ascii="Palatino Linotype" w:eastAsia="Times New Roman" w:hAnsi="Palatino Linotype" w:cs="Times New Roman"/>
      <w:i/>
      <w:noProof/>
      <w:snapToGrid w:val="0"/>
      <w:color w:val="000000"/>
      <w:sz w:val="20"/>
      <w:szCs w:val="22"/>
      <w:lang w:val="en-US" w:eastAsia="de-DE" w:bidi="en-US"/>
    </w:rPr>
  </w:style>
  <w:style w:type="paragraph" w:customStyle="1" w:styleId="MDPI41tablecaption">
    <w:name w:val="MDPI_4.1_table_caption"/>
    <w:qFormat/>
    <w:rsid w:val="00AC76CA"/>
    <w:pPr>
      <w:adjustRightInd w:val="0"/>
      <w:snapToGrid w:val="0"/>
      <w:spacing w:before="240" w:after="120" w:line="228" w:lineRule="auto"/>
      <w:ind w:left="2608"/>
      <w:jc w:val="both"/>
    </w:pPr>
    <w:rPr>
      <w:rFonts w:ascii="Palatino Linotype" w:eastAsia="Times New Roman" w:hAnsi="Palatino Linotype" w:cs="Cordia New"/>
      <w:color w:val="000000"/>
      <w:sz w:val="18"/>
      <w:szCs w:val="22"/>
      <w:lang w:val="en-US" w:eastAsia="de-DE" w:bidi="en-US"/>
    </w:rPr>
  </w:style>
  <w:style w:type="paragraph" w:customStyle="1" w:styleId="MDPI42tablebody">
    <w:name w:val="MDPI_4.2_table_body"/>
    <w:qFormat/>
    <w:rsid w:val="00AC76CA"/>
    <w:pPr>
      <w:adjustRightInd w:val="0"/>
      <w:snapToGrid w:val="0"/>
      <w:spacing w:line="260" w:lineRule="atLeast"/>
      <w:jc w:val="center"/>
    </w:pPr>
    <w:rPr>
      <w:rFonts w:ascii="Palatino Linotype" w:eastAsia="Times New Roman" w:hAnsi="Palatino Linotype" w:cs="Times New Roman"/>
      <w:snapToGrid w:val="0"/>
      <w:color w:val="000000"/>
      <w:sz w:val="20"/>
      <w:szCs w:val="20"/>
      <w:lang w:val="en-US" w:eastAsia="de-DE" w:bidi="en-US"/>
    </w:rPr>
  </w:style>
  <w:style w:type="paragraph" w:customStyle="1" w:styleId="MDPI43tablefooter">
    <w:name w:val="MDPI_4.3_table_footer"/>
    <w:next w:val="MDPI31text"/>
    <w:qFormat/>
    <w:rsid w:val="00AC76CA"/>
    <w:pPr>
      <w:adjustRightInd w:val="0"/>
      <w:snapToGrid w:val="0"/>
      <w:spacing w:line="228" w:lineRule="auto"/>
      <w:ind w:left="2608"/>
      <w:jc w:val="both"/>
    </w:pPr>
    <w:rPr>
      <w:rFonts w:ascii="Palatino Linotype" w:eastAsia="Times New Roman" w:hAnsi="Palatino Linotype" w:cs="Cordia New"/>
      <w:color w:val="000000"/>
      <w:sz w:val="18"/>
      <w:szCs w:val="22"/>
      <w:lang w:val="en-US" w:eastAsia="de-DE" w:bidi="en-US"/>
    </w:rPr>
  </w:style>
  <w:style w:type="paragraph" w:styleId="Intestazione">
    <w:name w:val="header"/>
    <w:basedOn w:val="Normale"/>
    <w:link w:val="IntestazioneCarattere"/>
    <w:uiPriority w:val="99"/>
    <w:unhideWhenUsed/>
    <w:rsid w:val="00AC76CA"/>
    <w:pPr>
      <w:tabs>
        <w:tab w:val="center" w:pos="4680"/>
        <w:tab w:val="right" w:pos="9360"/>
      </w:tabs>
      <w:spacing w:line="240" w:lineRule="auto"/>
    </w:pPr>
  </w:style>
  <w:style w:type="character" w:customStyle="1" w:styleId="IntestazioneCarattere">
    <w:name w:val="Intestazione Carattere"/>
    <w:basedOn w:val="Carpredefinitoparagrafo"/>
    <w:link w:val="Intestazione"/>
    <w:uiPriority w:val="99"/>
    <w:rsid w:val="00AC76CA"/>
    <w:rPr>
      <w:rFonts w:ascii="Calibri" w:eastAsia="Calibri" w:hAnsi="Calibri" w:cs="Calibri"/>
      <w:color w:val="000000"/>
      <w:sz w:val="22"/>
      <w:lang w:bidi="it-IT"/>
    </w:rPr>
  </w:style>
  <w:style w:type="paragraph" w:styleId="Pidipagina">
    <w:name w:val="footer"/>
    <w:basedOn w:val="Normale"/>
    <w:link w:val="PidipaginaCarattere"/>
    <w:uiPriority w:val="99"/>
    <w:unhideWhenUsed/>
    <w:rsid w:val="00AC76CA"/>
    <w:pPr>
      <w:tabs>
        <w:tab w:val="center" w:pos="4680"/>
        <w:tab w:val="right" w:pos="9360"/>
      </w:tabs>
      <w:spacing w:line="240" w:lineRule="auto"/>
    </w:pPr>
  </w:style>
  <w:style w:type="character" w:customStyle="1" w:styleId="PidipaginaCarattere">
    <w:name w:val="Piè di pagina Carattere"/>
    <w:basedOn w:val="Carpredefinitoparagrafo"/>
    <w:link w:val="Pidipagina"/>
    <w:uiPriority w:val="99"/>
    <w:rsid w:val="00AC76CA"/>
    <w:rPr>
      <w:rFonts w:ascii="Calibri" w:eastAsia="Calibri" w:hAnsi="Calibri" w:cs="Calibri"/>
      <w:color w:val="000000"/>
      <w:sz w:val="22"/>
      <w:lang w:bidi="it-IT"/>
    </w:rPr>
  </w:style>
  <w:style w:type="paragraph" w:customStyle="1" w:styleId="MDPI71References">
    <w:name w:val="MDPI_7.1_References"/>
    <w:qFormat/>
    <w:rsid w:val="00240F9B"/>
    <w:pPr>
      <w:numPr>
        <w:numId w:val="4"/>
      </w:numPr>
      <w:adjustRightInd w:val="0"/>
      <w:snapToGrid w:val="0"/>
      <w:spacing w:line="228" w:lineRule="auto"/>
      <w:jc w:val="both"/>
    </w:pPr>
    <w:rPr>
      <w:rFonts w:ascii="Palatino Linotype" w:eastAsia="Times New Roman" w:hAnsi="Palatino Linotype" w:cs="Times New Roman"/>
      <w:color w:val="000000"/>
      <w:sz w:val="18"/>
      <w:szCs w:val="20"/>
      <w:lang w:val="en-US" w:eastAsia="de-DE" w:bidi="en-US"/>
    </w:rPr>
  </w:style>
  <w:style w:type="character" w:styleId="Collegamentoipertestuale">
    <w:name w:val="Hyperlink"/>
    <w:basedOn w:val="Carpredefinitoparagrafo"/>
    <w:uiPriority w:val="99"/>
    <w:unhideWhenUsed/>
    <w:rsid w:val="00547FF4"/>
    <w:rPr>
      <w:color w:val="0563C1" w:themeColor="hyperlink"/>
      <w:u w:val="single"/>
    </w:rPr>
  </w:style>
  <w:style w:type="character" w:styleId="Menzionenonrisolta">
    <w:name w:val="Unresolved Mention"/>
    <w:basedOn w:val="Carpredefinitoparagrafo"/>
    <w:uiPriority w:val="99"/>
    <w:semiHidden/>
    <w:unhideWhenUsed/>
    <w:rsid w:val="00547F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88706">
      <w:bodyDiv w:val="1"/>
      <w:marLeft w:val="0"/>
      <w:marRight w:val="0"/>
      <w:marTop w:val="0"/>
      <w:marBottom w:val="0"/>
      <w:divBdr>
        <w:top w:val="none" w:sz="0" w:space="0" w:color="auto"/>
        <w:left w:val="none" w:sz="0" w:space="0" w:color="auto"/>
        <w:bottom w:val="none" w:sz="0" w:space="0" w:color="auto"/>
        <w:right w:val="none" w:sz="0" w:space="0" w:color="auto"/>
      </w:divBdr>
      <w:divsChild>
        <w:div w:id="1374381306">
          <w:marLeft w:val="0"/>
          <w:marRight w:val="0"/>
          <w:marTop w:val="0"/>
          <w:marBottom w:val="0"/>
          <w:divBdr>
            <w:top w:val="none" w:sz="0" w:space="0" w:color="auto"/>
            <w:left w:val="none" w:sz="0" w:space="0" w:color="auto"/>
            <w:bottom w:val="none" w:sz="0" w:space="0" w:color="auto"/>
            <w:right w:val="none" w:sz="0" w:space="0" w:color="auto"/>
          </w:divBdr>
          <w:divsChild>
            <w:div w:id="181169375">
              <w:marLeft w:val="0"/>
              <w:marRight w:val="0"/>
              <w:marTop w:val="0"/>
              <w:marBottom w:val="0"/>
              <w:divBdr>
                <w:top w:val="none" w:sz="0" w:space="0" w:color="auto"/>
                <w:left w:val="none" w:sz="0" w:space="0" w:color="auto"/>
                <w:bottom w:val="none" w:sz="0" w:space="0" w:color="auto"/>
                <w:right w:val="none" w:sz="0" w:space="0" w:color="auto"/>
              </w:divBdr>
              <w:divsChild>
                <w:div w:id="105096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99354">
      <w:bodyDiv w:val="1"/>
      <w:marLeft w:val="0"/>
      <w:marRight w:val="0"/>
      <w:marTop w:val="0"/>
      <w:marBottom w:val="0"/>
      <w:divBdr>
        <w:top w:val="none" w:sz="0" w:space="0" w:color="auto"/>
        <w:left w:val="none" w:sz="0" w:space="0" w:color="auto"/>
        <w:bottom w:val="none" w:sz="0" w:space="0" w:color="auto"/>
        <w:right w:val="none" w:sz="0" w:space="0" w:color="auto"/>
      </w:divBdr>
      <w:divsChild>
        <w:div w:id="1305357832">
          <w:marLeft w:val="0"/>
          <w:marRight w:val="0"/>
          <w:marTop w:val="0"/>
          <w:marBottom w:val="0"/>
          <w:divBdr>
            <w:top w:val="none" w:sz="0" w:space="0" w:color="auto"/>
            <w:left w:val="none" w:sz="0" w:space="0" w:color="auto"/>
            <w:bottom w:val="none" w:sz="0" w:space="0" w:color="auto"/>
            <w:right w:val="none" w:sz="0" w:space="0" w:color="auto"/>
          </w:divBdr>
          <w:divsChild>
            <w:div w:id="724530493">
              <w:marLeft w:val="0"/>
              <w:marRight w:val="0"/>
              <w:marTop w:val="0"/>
              <w:marBottom w:val="0"/>
              <w:divBdr>
                <w:top w:val="none" w:sz="0" w:space="0" w:color="auto"/>
                <w:left w:val="none" w:sz="0" w:space="0" w:color="auto"/>
                <w:bottom w:val="none" w:sz="0" w:space="0" w:color="auto"/>
                <w:right w:val="none" w:sz="0" w:space="0" w:color="auto"/>
              </w:divBdr>
              <w:divsChild>
                <w:div w:id="43760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02353">
      <w:bodyDiv w:val="1"/>
      <w:marLeft w:val="0"/>
      <w:marRight w:val="0"/>
      <w:marTop w:val="0"/>
      <w:marBottom w:val="0"/>
      <w:divBdr>
        <w:top w:val="none" w:sz="0" w:space="0" w:color="auto"/>
        <w:left w:val="none" w:sz="0" w:space="0" w:color="auto"/>
        <w:bottom w:val="none" w:sz="0" w:space="0" w:color="auto"/>
        <w:right w:val="none" w:sz="0" w:space="0" w:color="auto"/>
      </w:divBdr>
      <w:divsChild>
        <w:div w:id="417752792">
          <w:marLeft w:val="0"/>
          <w:marRight w:val="0"/>
          <w:marTop w:val="0"/>
          <w:marBottom w:val="0"/>
          <w:divBdr>
            <w:top w:val="none" w:sz="0" w:space="0" w:color="auto"/>
            <w:left w:val="none" w:sz="0" w:space="0" w:color="auto"/>
            <w:bottom w:val="none" w:sz="0" w:space="0" w:color="auto"/>
            <w:right w:val="none" w:sz="0" w:space="0" w:color="auto"/>
          </w:divBdr>
          <w:divsChild>
            <w:div w:id="2020500714">
              <w:marLeft w:val="0"/>
              <w:marRight w:val="0"/>
              <w:marTop w:val="0"/>
              <w:marBottom w:val="0"/>
              <w:divBdr>
                <w:top w:val="none" w:sz="0" w:space="0" w:color="auto"/>
                <w:left w:val="none" w:sz="0" w:space="0" w:color="auto"/>
                <w:bottom w:val="none" w:sz="0" w:space="0" w:color="auto"/>
                <w:right w:val="none" w:sz="0" w:space="0" w:color="auto"/>
              </w:divBdr>
              <w:divsChild>
                <w:div w:id="27112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825574">
      <w:bodyDiv w:val="1"/>
      <w:marLeft w:val="0"/>
      <w:marRight w:val="0"/>
      <w:marTop w:val="0"/>
      <w:marBottom w:val="0"/>
      <w:divBdr>
        <w:top w:val="none" w:sz="0" w:space="0" w:color="auto"/>
        <w:left w:val="none" w:sz="0" w:space="0" w:color="auto"/>
        <w:bottom w:val="none" w:sz="0" w:space="0" w:color="auto"/>
        <w:right w:val="none" w:sz="0" w:space="0" w:color="auto"/>
      </w:divBdr>
      <w:divsChild>
        <w:div w:id="29376400">
          <w:marLeft w:val="0"/>
          <w:marRight w:val="0"/>
          <w:marTop w:val="0"/>
          <w:marBottom w:val="0"/>
          <w:divBdr>
            <w:top w:val="none" w:sz="0" w:space="0" w:color="auto"/>
            <w:left w:val="none" w:sz="0" w:space="0" w:color="auto"/>
            <w:bottom w:val="none" w:sz="0" w:space="0" w:color="auto"/>
            <w:right w:val="none" w:sz="0" w:space="0" w:color="auto"/>
          </w:divBdr>
          <w:divsChild>
            <w:div w:id="848956517">
              <w:marLeft w:val="0"/>
              <w:marRight w:val="0"/>
              <w:marTop w:val="0"/>
              <w:marBottom w:val="0"/>
              <w:divBdr>
                <w:top w:val="none" w:sz="0" w:space="0" w:color="auto"/>
                <w:left w:val="none" w:sz="0" w:space="0" w:color="auto"/>
                <w:bottom w:val="none" w:sz="0" w:space="0" w:color="auto"/>
                <w:right w:val="none" w:sz="0" w:space="0" w:color="auto"/>
              </w:divBdr>
              <w:divsChild>
                <w:div w:id="125948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776868">
      <w:bodyDiv w:val="1"/>
      <w:marLeft w:val="0"/>
      <w:marRight w:val="0"/>
      <w:marTop w:val="0"/>
      <w:marBottom w:val="0"/>
      <w:divBdr>
        <w:top w:val="none" w:sz="0" w:space="0" w:color="auto"/>
        <w:left w:val="none" w:sz="0" w:space="0" w:color="auto"/>
        <w:bottom w:val="none" w:sz="0" w:space="0" w:color="auto"/>
        <w:right w:val="none" w:sz="0" w:space="0" w:color="auto"/>
      </w:divBdr>
      <w:divsChild>
        <w:div w:id="509178692">
          <w:marLeft w:val="0"/>
          <w:marRight w:val="0"/>
          <w:marTop w:val="0"/>
          <w:marBottom w:val="0"/>
          <w:divBdr>
            <w:top w:val="none" w:sz="0" w:space="0" w:color="auto"/>
            <w:left w:val="none" w:sz="0" w:space="0" w:color="auto"/>
            <w:bottom w:val="none" w:sz="0" w:space="0" w:color="auto"/>
            <w:right w:val="none" w:sz="0" w:space="0" w:color="auto"/>
          </w:divBdr>
          <w:divsChild>
            <w:div w:id="548107757">
              <w:marLeft w:val="0"/>
              <w:marRight w:val="0"/>
              <w:marTop w:val="0"/>
              <w:marBottom w:val="0"/>
              <w:divBdr>
                <w:top w:val="none" w:sz="0" w:space="0" w:color="auto"/>
                <w:left w:val="none" w:sz="0" w:space="0" w:color="auto"/>
                <w:bottom w:val="none" w:sz="0" w:space="0" w:color="auto"/>
                <w:right w:val="none" w:sz="0" w:space="0" w:color="auto"/>
              </w:divBdr>
              <w:divsChild>
                <w:div w:id="71050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354056">
      <w:bodyDiv w:val="1"/>
      <w:marLeft w:val="0"/>
      <w:marRight w:val="0"/>
      <w:marTop w:val="0"/>
      <w:marBottom w:val="0"/>
      <w:divBdr>
        <w:top w:val="none" w:sz="0" w:space="0" w:color="auto"/>
        <w:left w:val="none" w:sz="0" w:space="0" w:color="auto"/>
        <w:bottom w:val="none" w:sz="0" w:space="0" w:color="auto"/>
        <w:right w:val="none" w:sz="0" w:space="0" w:color="auto"/>
      </w:divBdr>
      <w:divsChild>
        <w:div w:id="1093092138">
          <w:marLeft w:val="0"/>
          <w:marRight w:val="0"/>
          <w:marTop w:val="0"/>
          <w:marBottom w:val="0"/>
          <w:divBdr>
            <w:top w:val="none" w:sz="0" w:space="0" w:color="auto"/>
            <w:left w:val="none" w:sz="0" w:space="0" w:color="auto"/>
            <w:bottom w:val="none" w:sz="0" w:space="0" w:color="auto"/>
            <w:right w:val="none" w:sz="0" w:space="0" w:color="auto"/>
          </w:divBdr>
          <w:divsChild>
            <w:div w:id="625084865">
              <w:marLeft w:val="0"/>
              <w:marRight w:val="0"/>
              <w:marTop w:val="0"/>
              <w:marBottom w:val="0"/>
              <w:divBdr>
                <w:top w:val="none" w:sz="0" w:space="0" w:color="auto"/>
                <w:left w:val="none" w:sz="0" w:space="0" w:color="auto"/>
                <w:bottom w:val="none" w:sz="0" w:space="0" w:color="auto"/>
                <w:right w:val="none" w:sz="0" w:space="0" w:color="auto"/>
              </w:divBdr>
              <w:divsChild>
                <w:div w:id="165977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79565">
      <w:bodyDiv w:val="1"/>
      <w:marLeft w:val="0"/>
      <w:marRight w:val="0"/>
      <w:marTop w:val="0"/>
      <w:marBottom w:val="0"/>
      <w:divBdr>
        <w:top w:val="none" w:sz="0" w:space="0" w:color="auto"/>
        <w:left w:val="none" w:sz="0" w:space="0" w:color="auto"/>
        <w:bottom w:val="none" w:sz="0" w:space="0" w:color="auto"/>
        <w:right w:val="none" w:sz="0" w:space="0" w:color="auto"/>
      </w:divBdr>
      <w:divsChild>
        <w:div w:id="970137160">
          <w:marLeft w:val="0"/>
          <w:marRight w:val="0"/>
          <w:marTop w:val="0"/>
          <w:marBottom w:val="0"/>
          <w:divBdr>
            <w:top w:val="none" w:sz="0" w:space="0" w:color="auto"/>
            <w:left w:val="none" w:sz="0" w:space="0" w:color="auto"/>
            <w:bottom w:val="none" w:sz="0" w:space="0" w:color="auto"/>
            <w:right w:val="none" w:sz="0" w:space="0" w:color="auto"/>
          </w:divBdr>
          <w:divsChild>
            <w:div w:id="990717616">
              <w:marLeft w:val="0"/>
              <w:marRight w:val="0"/>
              <w:marTop w:val="0"/>
              <w:marBottom w:val="0"/>
              <w:divBdr>
                <w:top w:val="none" w:sz="0" w:space="0" w:color="auto"/>
                <w:left w:val="none" w:sz="0" w:space="0" w:color="auto"/>
                <w:bottom w:val="none" w:sz="0" w:space="0" w:color="auto"/>
                <w:right w:val="none" w:sz="0" w:space="0" w:color="auto"/>
              </w:divBdr>
              <w:divsChild>
                <w:div w:id="68891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065789">
      <w:bodyDiv w:val="1"/>
      <w:marLeft w:val="0"/>
      <w:marRight w:val="0"/>
      <w:marTop w:val="0"/>
      <w:marBottom w:val="0"/>
      <w:divBdr>
        <w:top w:val="none" w:sz="0" w:space="0" w:color="auto"/>
        <w:left w:val="none" w:sz="0" w:space="0" w:color="auto"/>
        <w:bottom w:val="none" w:sz="0" w:space="0" w:color="auto"/>
        <w:right w:val="none" w:sz="0" w:space="0" w:color="auto"/>
      </w:divBdr>
      <w:divsChild>
        <w:div w:id="1472482118">
          <w:marLeft w:val="0"/>
          <w:marRight w:val="0"/>
          <w:marTop w:val="0"/>
          <w:marBottom w:val="0"/>
          <w:divBdr>
            <w:top w:val="none" w:sz="0" w:space="0" w:color="auto"/>
            <w:left w:val="none" w:sz="0" w:space="0" w:color="auto"/>
            <w:bottom w:val="none" w:sz="0" w:space="0" w:color="auto"/>
            <w:right w:val="none" w:sz="0" w:space="0" w:color="auto"/>
          </w:divBdr>
          <w:divsChild>
            <w:div w:id="1507938228">
              <w:marLeft w:val="0"/>
              <w:marRight w:val="0"/>
              <w:marTop w:val="0"/>
              <w:marBottom w:val="0"/>
              <w:divBdr>
                <w:top w:val="none" w:sz="0" w:space="0" w:color="auto"/>
                <w:left w:val="none" w:sz="0" w:space="0" w:color="auto"/>
                <w:bottom w:val="none" w:sz="0" w:space="0" w:color="auto"/>
                <w:right w:val="none" w:sz="0" w:space="0" w:color="auto"/>
              </w:divBdr>
              <w:divsChild>
                <w:div w:id="105743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467046">
      <w:bodyDiv w:val="1"/>
      <w:marLeft w:val="0"/>
      <w:marRight w:val="0"/>
      <w:marTop w:val="0"/>
      <w:marBottom w:val="0"/>
      <w:divBdr>
        <w:top w:val="none" w:sz="0" w:space="0" w:color="auto"/>
        <w:left w:val="none" w:sz="0" w:space="0" w:color="auto"/>
        <w:bottom w:val="none" w:sz="0" w:space="0" w:color="auto"/>
        <w:right w:val="none" w:sz="0" w:space="0" w:color="auto"/>
      </w:divBdr>
      <w:divsChild>
        <w:div w:id="365066488">
          <w:marLeft w:val="0"/>
          <w:marRight w:val="0"/>
          <w:marTop w:val="0"/>
          <w:marBottom w:val="0"/>
          <w:divBdr>
            <w:top w:val="none" w:sz="0" w:space="0" w:color="auto"/>
            <w:left w:val="none" w:sz="0" w:space="0" w:color="auto"/>
            <w:bottom w:val="none" w:sz="0" w:space="0" w:color="auto"/>
            <w:right w:val="none" w:sz="0" w:space="0" w:color="auto"/>
          </w:divBdr>
          <w:divsChild>
            <w:div w:id="1206523646">
              <w:marLeft w:val="0"/>
              <w:marRight w:val="0"/>
              <w:marTop w:val="0"/>
              <w:marBottom w:val="0"/>
              <w:divBdr>
                <w:top w:val="none" w:sz="0" w:space="0" w:color="auto"/>
                <w:left w:val="none" w:sz="0" w:space="0" w:color="auto"/>
                <w:bottom w:val="none" w:sz="0" w:space="0" w:color="auto"/>
                <w:right w:val="none" w:sz="0" w:space="0" w:color="auto"/>
              </w:divBdr>
              <w:divsChild>
                <w:div w:id="57462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912054">
      <w:bodyDiv w:val="1"/>
      <w:marLeft w:val="0"/>
      <w:marRight w:val="0"/>
      <w:marTop w:val="0"/>
      <w:marBottom w:val="0"/>
      <w:divBdr>
        <w:top w:val="none" w:sz="0" w:space="0" w:color="auto"/>
        <w:left w:val="none" w:sz="0" w:space="0" w:color="auto"/>
        <w:bottom w:val="none" w:sz="0" w:space="0" w:color="auto"/>
        <w:right w:val="none" w:sz="0" w:space="0" w:color="auto"/>
      </w:divBdr>
      <w:divsChild>
        <w:div w:id="1200968349">
          <w:marLeft w:val="0"/>
          <w:marRight w:val="0"/>
          <w:marTop w:val="0"/>
          <w:marBottom w:val="0"/>
          <w:divBdr>
            <w:top w:val="none" w:sz="0" w:space="0" w:color="auto"/>
            <w:left w:val="none" w:sz="0" w:space="0" w:color="auto"/>
            <w:bottom w:val="none" w:sz="0" w:space="0" w:color="auto"/>
            <w:right w:val="none" w:sz="0" w:space="0" w:color="auto"/>
          </w:divBdr>
          <w:divsChild>
            <w:div w:id="2014334369">
              <w:marLeft w:val="0"/>
              <w:marRight w:val="0"/>
              <w:marTop w:val="0"/>
              <w:marBottom w:val="0"/>
              <w:divBdr>
                <w:top w:val="none" w:sz="0" w:space="0" w:color="auto"/>
                <w:left w:val="none" w:sz="0" w:space="0" w:color="auto"/>
                <w:bottom w:val="none" w:sz="0" w:space="0" w:color="auto"/>
                <w:right w:val="none" w:sz="0" w:space="0" w:color="auto"/>
              </w:divBdr>
              <w:divsChild>
                <w:div w:id="557279833">
                  <w:marLeft w:val="0"/>
                  <w:marRight w:val="0"/>
                  <w:marTop w:val="0"/>
                  <w:marBottom w:val="0"/>
                  <w:divBdr>
                    <w:top w:val="none" w:sz="0" w:space="0" w:color="auto"/>
                    <w:left w:val="none" w:sz="0" w:space="0" w:color="auto"/>
                    <w:bottom w:val="none" w:sz="0" w:space="0" w:color="auto"/>
                    <w:right w:val="none" w:sz="0" w:space="0" w:color="auto"/>
                  </w:divBdr>
                  <w:divsChild>
                    <w:div w:id="211408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578818">
      <w:bodyDiv w:val="1"/>
      <w:marLeft w:val="0"/>
      <w:marRight w:val="0"/>
      <w:marTop w:val="0"/>
      <w:marBottom w:val="0"/>
      <w:divBdr>
        <w:top w:val="none" w:sz="0" w:space="0" w:color="auto"/>
        <w:left w:val="none" w:sz="0" w:space="0" w:color="auto"/>
        <w:bottom w:val="none" w:sz="0" w:space="0" w:color="auto"/>
        <w:right w:val="none" w:sz="0" w:space="0" w:color="auto"/>
      </w:divBdr>
      <w:divsChild>
        <w:div w:id="1640838958">
          <w:marLeft w:val="0"/>
          <w:marRight w:val="0"/>
          <w:marTop w:val="0"/>
          <w:marBottom w:val="0"/>
          <w:divBdr>
            <w:top w:val="none" w:sz="0" w:space="0" w:color="auto"/>
            <w:left w:val="none" w:sz="0" w:space="0" w:color="auto"/>
            <w:bottom w:val="none" w:sz="0" w:space="0" w:color="auto"/>
            <w:right w:val="none" w:sz="0" w:space="0" w:color="auto"/>
          </w:divBdr>
          <w:divsChild>
            <w:div w:id="1933735500">
              <w:marLeft w:val="0"/>
              <w:marRight w:val="0"/>
              <w:marTop w:val="0"/>
              <w:marBottom w:val="0"/>
              <w:divBdr>
                <w:top w:val="none" w:sz="0" w:space="0" w:color="auto"/>
                <w:left w:val="none" w:sz="0" w:space="0" w:color="auto"/>
                <w:bottom w:val="none" w:sz="0" w:space="0" w:color="auto"/>
                <w:right w:val="none" w:sz="0" w:space="0" w:color="auto"/>
              </w:divBdr>
              <w:divsChild>
                <w:div w:id="127109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salvatore.macis@uniroam1.it" TargetMode="External"/><Relationship Id="rId13"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mailto:annalisa.darco@uniroma1.it" TargetMode="External"/><Relationship Id="rId12" Type="http://schemas.openxmlformats.org/officeDocument/2006/relationships/image" Target="media/image1.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tefano.lupi@roma1.infn.it"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stefano.lupi@uniroma1.it" TargetMode="External"/><Relationship Id="rId4" Type="http://schemas.openxmlformats.org/officeDocument/2006/relationships/webSettings" Target="webSettings.xml"/><Relationship Id="rId9" Type="http://schemas.openxmlformats.org/officeDocument/2006/relationships/hyperlink" Target="mailto:tiziana.mancini@uniroma1.it"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1985</Words>
  <Characters>11317</Characters>
  <Application>Microsoft Office Word</Application>
  <DocSecurity>0</DocSecurity>
  <Lines>94</Lines>
  <Paragraphs>26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cp:lastModifiedBy>Annalisa D'Arco</cp:lastModifiedBy>
  <cp:revision>48</cp:revision>
  <dcterms:created xsi:type="dcterms:W3CDTF">2023-11-15T16:56:00Z</dcterms:created>
  <dcterms:modified xsi:type="dcterms:W3CDTF">2024-01-09T13:01:00Z</dcterms:modified>
</cp:coreProperties>
</file>