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6FB32" w14:textId="77777777" w:rsidR="004C0F88" w:rsidRPr="004C0F88" w:rsidRDefault="004C0F88" w:rsidP="004C0F88">
      <w:pPr>
        <w:jc w:val="center"/>
        <w:rPr>
          <w:b/>
          <w:sz w:val="36"/>
          <w:lang w:val="en-US"/>
        </w:rPr>
      </w:pPr>
      <w:r w:rsidRPr="004C0F88">
        <w:rPr>
          <w:b/>
          <w:sz w:val="36"/>
          <w:lang w:val="en-US"/>
        </w:rPr>
        <w:t xml:space="preserve">High repetition rate THz generation by cavity enhanced optical rectification in </w:t>
      </w:r>
      <w:proofErr w:type="spellStart"/>
      <w:proofErr w:type="gramStart"/>
      <w:r w:rsidRPr="004C0F88">
        <w:rPr>
          <w:b/>
          <w:sz w:val="36"/>
          <w:lang w:val="en-US"/>
        </w:rPr>
        <w:t>GaP</w:t>
      </w:r>
      <w:proofErr w:type="spellEnd"/>
      <w:proofErr w:type="gramEnd"/>
    </w:p>
    <w:p w14:paraId="066F8D13" w14:textId="77777777" w:rsidR="004C0F88" w:rsidRPr="004C0F88" w:rsidRDefault="004C0F88" w:rsidP="004C0F88">
      <w:pPr>
        <w:jc w:val="center"/>
        <w:rPr>
          <w:b/>
          <w:lang w:val="en-US"/>
        </w:rPr>
      </w:pPr>
    </w:p>
    <w:p w14:paraId="0083D890" w14:textId="77777777" w:rsidR="004C0F88" w:rsidRPr="00C91FCC" w:rsidRDefault="004C0F88" w:rsidP="004C0F88">
      <w:pPr>
        <w:pStyle w:val="MCAuthor"/>
        <w:rPr>
          <w:vertAlign w:val="superscript"/>
          <w:lang w:val="it-IT"/>
        </w:rPr>
      </w:pPr>
      <w:r w:rsidRPr="00C91FCC">
        <w:rPr>
          <w:lang w:val="it-IT"/>
        </w:rPr>
        <w:t>Francesco Canella</w:t>
      </w:r>
      <w:r>
        <w:rPr>
          <w:vertAlign w:val="superscript"/>
          <w:lang w:val="it-IT"/>
        </w:rPr>
        <w:t>1,*</w:t>
      </w:r>
      <w:r w:rsidRPr="00C91FCC">
        <w:rPr>
          <w:lang w:val="it-IT"/>
        </w:rPr>
        <w:t>, Edoardo Suerra</w:t>
      </w:r>
      <w:r>
        <w:rPr>
          <w:vertAlign w:val="superscript"/>
          <w:lang w:val="it-IT"/>
        </w:rPr>
        <w:t>2,3</w:t>
      </w:r>
      <w:r w:rsidRPr="00C91FCC">
        <w:rPr>
          <w:lang w:val="it-IT"/>
        </w:rPr>
        <w:t xml:space="preserve">, Dario </w:t>
      </w:r>
      <w:r>
        <w:rPr>
          <w:lang w:val="it-IT"/>
        </w:rPr>
        <w:t>Giannotti</w:t>
      </w:r>
      <w:r>
        <w:rPr>
          <w:vertAlign w:val="superscript"/>
          <w:lang w:val="it-IT"/>
        </w:rPr>
        <w:t>4,3</w:t>
      </w:r>
      <w:r>
        <w:rPr>
          <w:lang w:val="it-IT"/>
        </w:rPr>
        <w:t>, Simone Cialdi</w:t>
      </w:r>
      <w:r>
        <w:rPr>
          <w:vertAlign w:val="superscript"/>
          <w:lang w:val="it-IT"/>
        </w:rPr>
        <w:t>2,3</w:t>
      </w:r>
      <w:r>
        <w:rPr>
          <w:lang w:val="it-IT"/>
        </w:rPr>
        <w:t>, and Gianluca Galzerano</w:t>
      </w:r>
      <w:r>
        <w:rPr>
          <w:vertAlign w:val="superscript"/>
          <w:lang w:val="it-IT"/>
        </w:rPr>
        <w:t>1,3</w:t>
      </w:r>
    </w:p>
    <w:p w14:paraId="5D17CACD" w14:textId="77777777" w:rsidR="004C0F88" w:rsidRDefault="004C0F88" w:rsidP="004C0F88">
      <w:pPr>
        <w:pStyle w:val="MCAuthorAffiliation"/>
        <w:rPr>
          <w:rFonts w:ascii="Times New Roman" w:hAnsi="Times New Roman"/>
          <w:lang w:val="it-IT"/>
        </w:rPr>
      </w:pPr>
      <w:r>
        <w:rPr>
          <w:rFonts w:ascii="Times New Roman" w:hAnsi="Times New Roman"/>
          <w:vertAlign w:val="superscript"/>
          <w:lang w:val="it-IT"/>
        </w:rPr>
        <w:t>1</w:t>
      </w:r>
      <w:r w:rsidRPr="00C91FCC">
        <w:rPr>
          <w:rFonts w:ascii="Times New Roman" w:hAnsi="Times New Roman"/>
          <w:lang w:val="it-IT"/>
        </w:rPr>
        <w:t>Istituto di Fotonica e Nano</w:t>
      </w:r>
      <w:r>
        <w:rPr>
          <w:rFonts w:ascii="Times New Roman" w:hAnsi="Times New Roman"/>
          <w:lang w:val="it-IT"/>
        </w:rPr>
        <w:t>tecnologie – CNR, piazza Leonardo da Vinci 32, Milano, Italy</w:t>
      </w:r>
    </w:p>
    <w:p w14:paraId="74CC070B" w14:textId="77777777" w:rsidR="004C0F88" w:rsidRDefault="004C0F88" w:rsidP="004C0F88">
      <w:pPr>
        <w:pStyle w:val="MCAuthorAffiliation"/>
        <w:rPr>
          <w:rFonts w:ascii="Times New Roman" w:hAnsi="Times New Roman"/>
          <w:lang w:val="it-IT"/>
        </w:rPr>
      </w:pPr>
      <w:r>
        <w:rPr>
          <w:rFonts w:ascii="Times New Roman" w:hAnsi="Times New Roman"/>
          <w:vertAlign w:val="superscript"/>
          <w:lang w:val="it-IT"/>
        </w:rPr>
        <w:t>2</w:t>
      </w:r>
      <w:r>
        <w:rPr>
          <w:rFonts w:ascii="Times New Roman" w:hAnsi="Times New Roman"/>
          <w:lang w:val="it-IT"/>
        </w:rPr>
        <w:t>Dipartimento di Fisica, Università degli Studi di Milano, via Celoria 16, Milano, Italy</w:t>
      </w:r>
    </w:p>
    <w:p w14:paraId="52371DDE" w14:textId="77777777" w:rsidR="004C0F88" w:rsidRDefault="004C0F88" w:rsidP="004C0F88">
      <w:pPr>
        <w:pStyle w:val="MCAuthorAffiliation"/>
        <w:rPr>
          <w:rFonts w:ascii="Times New Roman" w:hAnsi="Times New Roman"/>
          <w:lang w:val="it-IT"/>
        </w:rPr>
      </w:pPr>
      <w:r>
        <w:rPr>
          <w:rFonts w:ascii="Times New Roman" w:hAnsi="Times New Roman"/>
          <w:vertAlign w:val="superscript"/>
          <w:lang w:val="it-IT"/>
        </w:rPr>
        <w:t>3</w:t>
      </w:r>
      <w:r>
        <w:rPr>
          <w:rFonts w:ascii="Times New Roman" w:hAnsi="Times New Roman"/>
          <w:lang w:val="it-IT"/>
        </w:rPr>
        <w:t>INFN, Sezione di Milano, via Celoria 16, Milano, Italy</w:t>
      </w:r>
    </w:p>
    <w:p w14:paraId="2781A4A4" w14:textId="77777777" w:rsidR="004C0F88" w:rsidRPr="00C91FCC" w:rsidRDefault="004C0F88" w:rsidP="004C0F88">
      <w:pPr>
        <w:pStyle w:val="MCAuthorAffiliation"/>
        <w:rPr>
          <w:rFonts w:ascii="Times New Roman" w:hAnsi="Times New Roman"/>
          <w:lang w:val="it-IT"/>
        </w:rPr>
      </w:pPr>
      <w:r>
        <w:rPr>
          <w:rFonts w:ascii="Times New Roman" w:hAnsi="Times New Roman"/>
          <w:vertAlign w:val="superscript"/>
          <w:lang w:val="it-IT"/>
        </w:rPr>
        <w:t>4</w:t>
      </w:r>
      <w:r>
        <w:rPr>
          <w:rFonts w:ascii="Times New Roman" w:hAnsi="Times New Roman"/>
          <w:lang w:val="it-IT"/>
        </w:rPr>
        <w:t>Dipartimento di Fisica, Politecnico di Milano, piazza Leonardo da Vinci 32, Milano, Italy</w:t>
      </w:r>
    </w:p>
    <w:p w14:paraId="3395FCFF" w14:textId="77777777" w:rsidR="004C0F88" w:rsidRDefault="004C0F88" w:rsidP="004C0F88">
      <w:pPr>
        <w:pStyle w:val="MCAuthorAffiliation"/>
        <w:rPr>
          <w:rFonts w:ascii="Times New Roman" w:hAnsi="Times New Roman"/>
        </w:rPr>
      </w:pPr>
      <w:r>
        <w:rPr>
          <w:rFonts w:ascii="Times New Roman" w:hAnsi="Times New Roman"/>
        </w:rPr>
        <w:t>*francesco.canella@cnr.it</w:t>
      </w:r>
    </w:p>
    <w:p w14:paraId="1C179F2D" w14:textId="77777777" w:rsidR="004C0F88" w:rsidRPr="004C0F88" w:rsidRDefault="004C0F88" w:rsidP="004C0F88">
      <w:pPr>
        <w:rPr>
          <w:lang w:val="en-US"/>
        </w:rPr>
      </w:pPr>
    </w:p>
    <w:p w14:paraId="51424156" w14:textId="77777777" w:rsidR="004C0F88" w:rsidRDefault="004C0F88" w:rsidP="004C0F88">
      <w:pPr>
        <w:pStyle w:val="MCAbstract"/>
      </w:pPr>
      <w:r>
        <w:rPr>
          <w:b/>
        </w:rPr>
        <w:t>Abstract:</w:t>
      </w:r>
      <w:r>
        <w:t xml:space="preserve"> </w:t>
      </w:r>
      <w:r w:rsidRPr="001E7ECB">
        <w:t xml:space="preserve">We report on the experimental characterization of a </w:t>
      </w:r>
      <w:proofErr w:type="spellStart"/>
      <w:r w:rsidRPr="001E7ECB">
        <w:t>GaP</w:t>
      </w:r>
      <w:proofErr w:type="spellEnd"/>
      <w:r w:rsidRPr="001E7ECB">
        <w:t xml:space="preserve"> nonlinear crystal inserted within an enhancement resonator pumped by high-repetition rate near-infrared pulses for the generation of milliwatt-level THz radiation</w:t>
      </w:r>
      <w:r w:rsidRPr="002D43CB">
        <w:t>.</w:t>
      </w:r>
    </w:p>
    <w:p w14:paraId="75D15EB9" w14:textId="77777777" w:rsidR="004C0F88" w:rsidRDefault="004C0F88" w:rsidP="004C0F88">
      <w:pPr>
        <w:pStyle w:val="MCAbstract"/>
      </w:pPr>
    </w:p>
    <w:p w14:paraId="7C2BE147" w14:textId="77777777" w:rsidR="004C0F88" w:rsidRPr="00E67F28" w:rsidRDefault="004C0F88" w:rsidP="004C0F88">
      <w:pPr>
        <w:pStyle w:val="MCSectionHead"/>
        <w:spacing w:before="0"/>
        <w:jc w:val="left"/>
      </w:pPr>
      <w:r w:rsidRPr="00E67F28">
        <w:rPr>
          <w:bCs/>
        </w:rPr>
        <w:t>1</w:t>
      </w:r>
      <w:r w:rsidRPr="00E67F28">
        <w:rPr>
          <w:b w:val="0"/>
        </w:rPr>
        <w:t>.</w:t>
      </w:r>
      <w:r>
        <w:t xml:space="preserve"> Introduction</w:t>
      </w:r>
    </w:p>
    <w:p w14:paraId="3A6E6D95" w14:textId="77777777" w:rsidR="004C0F88" w:rsidRPr="00E67F28" w:rsidRDefault="004C0F88" w:rsidP="004C0F88">
      <w:pPr>
        <w:pStyle w:val="Default"/>
        <w:jc w:val="both"/>
        <w:rPr>
          <w:sz w:val="20"/>
          <w:szCs w:val="20"/>
          <w:lang w:val="en-US"/>
        </w:rPr>
      </w:pPr>
      <w:r w:rsidRPr="00E67F28">
        <w:rPr>
          <w:sz w:val="20"/>
          <w:szCs w:val="20"/>
          <w:lang w:val="en-US"/>
        </w:rPr>
        <w:t xml:space="preserve">Terahertz (THz) radiation </w:t>
      </w:r>
      <w:r>
        <w:rPr>
          <w:sz w:val="20"/>
          <w:szCs w:val="20"/>
          <w:lang w:val="en-US"/>
        </w:rPr>
        <w:t xml:space="preserve">exhibits </w:t>
      </w:r>
      <w:r w:rsidRPr="00E67F28">
        <w:rPr>
          <w:sz w:val="20"/>
          <w:szCs w:val="20"/>
          <w:lang w:val="en-US"/>
        </w:rPr>
        <w:t xml:space="preserve">properties </w:t>
      </w:r>
      <w:r>
        <w:rPr>
          <w:sz w:val="20"/>
          <w:szCs w:val="20"/>
          <w:lang w:val="en-US"/>
        </w:rPr>
        <w:t xml:space="preserve">of great interest </w:t>
      </w:r>
      <w:r w:rsidRPr="00E67F28">
        <w:rPr>
          <w:sz w:val="20"/>
          <w:szCs w:val="20"/>
          <w:lang w:val="en-US"/>
        </w:rPr>
        <w:t xml:space="preserve">and potential applications in </w:t>
      </w:r>
      <w:r>
        <w:rPr>
          <w:sz w:val="20"/>
          <w:szCs w:val="20"/>
          <w:lang w:val="en-US"/>
        </w:rPr>
        <w:t>several scientific</w:t>
      </w:r>
      <w:r w:rsidRPr="00E67F28">
        <w:rPr>
          <w:sz w:val="20"/>
          <w:szCs w:val="20"/>
          <w:lang w:val="en-US"/>
        </w:rPr>
        <w:t xml:space="preserve"> fields</w:t>
      </w:r>
      <w:r>
        <w:rPr>
          <w:sz w:val="20"/>
          <w:szCs w:val="20"/>
          <w:lang w:val="en-US"/>
        </w:rPr>
        <w:t>.</w:t>
      </w:r>
      <w:r w:rsidRPr="00E67F28">
        <w:rPr>
          <w:sz w:val="20"/>
          <w:szCs w:val="20"/>
          <w:lang w:val="en-US"/>
        </w:rPr>
        <w:t xml:space="preserve"> </w:t>
      </w:r>
      <w:r>
        <w:rPr>
          <w:sz w:val="20"/>
          <w:szCs w:val="20"/>
          <w:lang w:val="en-US"/>
        </w:rPr>
        <w:t>For example, THz waves (in the spectral range</w:t>
      </w:r>
      <w:r w:rsidRPr="00E67F28">
        <w:rPr>
          <w:sz w:val="20"/>
          <w:szCs w:val="20"/>
          <w:lang w:val="en-US"/>
        </w:rPr>
        <w:t xml:space="preserve"> </w:t>
      </w:r>
      <w:r>
        <w:rPr>
          <w:sz w:val="20"/>
          <w:szCs w:val="20"/>
          <w:lang w:val="en-US"/>
        </w:rPr>
        <w:t xml:space="preserve">between 0.1 and 30 THz) find direct applications in </w:t>
      </w:r>
      <w:r w:rsidRPr="00E67F28">
        <w:rPr>
          <w:sz w:val="20"/>
          <w:szCs w:val="20"/>
          <w:lang w:val="en-US"/>
        </w:rPr>
        <w:t xml:space="preserve">spectroscopy </w:t>
      </w:r>
      <w:r>
        <w:rPr>
          <w:sz w:val="20"/>
          <w:szCs w:val="20"/>
          <w:lang w:val="en-US"/>
        </w:rPr>
        <w:t>of innovative materials</w:t>
      </w:r>
      <w:r w:rsidRPr="00E67F28">
        <w:rPr>
          <w:sz w:val="20"/>
          <w:szCs w:val="20"/>
          <w:lang w:val="en-US"/>
        </w:rPr>
        <w:t xml:space="preserve">, </w:t>
      </w:r>
      <w:r>
        <w:rPr>
          <w:sz w:val="20"/>
          <w:szCs w:val="20"/>
          <w:lang w:val="en-US"/>
        </w:rPr>
        <w:t xml:space="preserve">time-domain quantum optics, </w:t>
      </w:r>
      <w:r w:rsidRPr="00E67F28">
        <w:rPr>
          <w:sz w:val="20"/>
          <w:szCs w:val="20"/>
          <w:lang w:val="en-US"/>
        </w:rPr>
        <w:t xml:space="preserve">and </w:t>
      </w:r>
      <w:r>
        <w:rPr>
          <w:sz w:val="20"/>
          <w:szCs w:val="20"/>
          <w:lang w:val="en-US"/>
        </w:rPr>
        <w:t>biological sensing</w:t>
      </w:r>
      <w:r w:rsidRPr="00E67F28">
        <w:rPr>
          <w:sz w:val="20"/>
          <w:szCs w:val="20"/>
          <w:lang w:val="en-US"/>
        </w:rPr>
        <w:t xml:space="preserve"> [</w:t>
      </w:r>
      <w:r>
        <w:rPr>
          <w:sz w:val="20"/>
          <w:szCs w:val="20"/>
          <w:lang w:val="en-US"/>
        </w:rPr>
        <w:t>1</w:t>
      </w:r>
      <w:r w:rsidRPr="00E67F28">
        <w:rPr>
          <w:sz w:val="20"/>
          <w:szCs w:val="20"/>
          <w:lang w:val="en-US"/>
        </w:rPr>
        <w:t>]. However</w:t>
      </w:r>
      <w:r>
        <w:rPr>
          <w:sz w:val="20"/>
          <w:szCs w:val="20"/>
          <w:lang w:val="en-US"/>
        </w:rPr>
        <w:t xml:space="preserve">, </w:t>
      </w:r>
      <w:r w:rsidRPr="00E67F28">
        <w:rPr>
          <w:sz w:val="20"/>
          <w:szCs w:val="20"/>
          <w:lang w:val="en-US"/>
        </w:rPr>
        <w:t xml:space="preserve">THz </w:t>
      </w:r>
      <w:r>
        <w:rPr>
          <w:sz w:val="20"/>
          <w:szCs w:val="20"/>
          <w:lang w:val="en-US"/>
        </w:rPr>
        <w:t>science</w:t>
      </w:r>
      <w:r w:rsidRPr="00E67F28">
        <w:rPr>
          <w:sz w:val="20"/>
          <w:szCs w:val="20"/>
          <w:lang w:val="en-US"/>
        </w:rPr>
        <w:t xml:space="preserve"> </w:t>
      </w:r>
      <w:r>
        <w:rPr>
          <w:sz w:val="20"/>
          <w:szCs w:val="20"/>
          <w:lang w:val="en-US"/>
        </w:rPr>
        <w:t xml:space="preserve">remains challenging because of </w:t>
      </w:r>
      <w:r w:rsidRPr="00E67F28">
        <w:rPr>
          <w:sz w:val="20"/>
          <w:szCs w:val="20"/>
          <w:lang w:val="en-US"/>
        </w:rPr>
        <w:t xml:space="preserve">the lack of </w:t>
      </w:r>
      <w:r>
        <w:rPr>
          <w:sz w:val="20"/>
          <w:szCs w:val="20"/>
          <w:lang w:val="en-US"/>
        </w:rPr>
        <w:t>suitable</w:t>
      </w:r>
      <w:r w:rsidRPr="00E67F28">
        <w:rPr>
          <w:sz w:val="20"/>
          <w:szCs w:val="20"/>
          <w:lang w:val="en-US"/>
        </w:rPr>
        <w:t xml:space="preserve"> sources and detectors. </w:t>
      </w:r>
      <w:r>
        <w:rPr>
          <w:sz w:val="20"/>
          <w:szCs w:val="20"/>
          <w:lang w:val="en-US"/>
        </w:rPr>
        <w:t>To fill this technological gap, various</w:t>
      </w:r>
      <w:r w:rsidRPr="00E67F28">
        <w:rPr>
          <w:sz w:val="20"/>
          <w:szCs w:val="20"/>
          <w:lang w:val="en-US"/>
        </w:rPr>
        <w:t xml:space="preserve"> </w:t>
      </w:r>
      <w:r>
        <w:rPr>
          <w:sz w:val="20"/>
          <w:szCs w:val="20"/>
          <w:lang w:val="en-US"/>
        </w:rPr>
        <w:t>techniques</w:t>
      </w:r>
      <w:r w:rsidRPr="00E67F28">
        <w:rPr>
          <w:sz w:val="20"/>
          <w:szCs w:val="20"/>
          <w:lang w:val="en-US"/>
        </w:rPr>
        <w:t xml:space="preserve"> have been explored</w:t>
      </w:r>
      <w:r>
        <w:rPr>
          <w:sz w:val="20"/>
          <w:szCs w:val="20"/>
          <w:lang w:val="en-US"/>
        </w:rPr>
        <w:t xml:space="preserve"> over the years. For instance, </w:t>
      </w:r>
      <w:r w:rsidRPr="00E67F28">
        <w:rPr>
          <w:sz w:val="20"/>
          <w:szCs w:val="20"/>
          <w:lang w:val="en-US"/>
        </w:rPr>
        <w:t>quantum cascade laser</w:t>
      </w:r>
      <w:r>
        <w:rPr>
          <w:sz w:val="20"/>
          <w:szCs w:val="20"/>
          <w:lang w:val="en-US"/>
        </w:rPr>
        <w:t>s and</w:t>
      </w:r>
      <w:r w:rsidRPr="00E67F28">
        <w:rPr>
          <w:sz w:val="20"/>
          <w:szCs w:val="20"/>
          <w:lang w:val="en-US"/>
        </w:rPr>
        <w:t xml:space="preserve"> photoconducti</w:t>
      </w:r>
      <w:r>
        <w:rPr>
          <w:sz w:val="20"/>
          <w:szCs w:val="20"/>
          <w:lang w:val="en-US"/>
        </w:rPr>
        <w:t>ve antennas are well-established methods to generate THz radiation [2].</w:t>
      </w:r>
      <w:r w:rsidRPr="00E67F28">
        <w:rPr>
          <w:sz w:val="20"/>
          <w:szCs w:val="20"/>
          <w:lang w:val="en-US"/>
        </w:rPr>
        <w:t xml:space="preserve"> </w:t>
      </w:r>
      <w:r>
        <w:rPr>
          <w:sz w:val="20"/>
          <w:szCs w:val="20"/>
          <w:lang w:val="en-US"/>
        </w:rPr>
        <w:t xml:space="preserve">Recently, </w:t>
      </w:r>
      <w:r w:rsidRPr="00E67F28">
        <w:rPr>
          <w:sz w:val="20"/>
          <w:szCs w:val="20"/>
          <w:lang w:val="en-US"/>
        </w:rPr>
        <w:t>frequency down-conversion of near</w:t>
      </w:r>
      <w:r>
        <w:rPr>
          <w:sz w:val="20"/>
          <w:szCs w:val="20"/>
          <w:lang w:val="en-US"/>
        </w:rPr>
        <w:t>-</w:t>
      </w:r>
      <w:r w:rsidRPr="00E67F28">
        <w:rPr>
          <w:sz w:val="20"/>
          <w:szCs w:val="20"/>
          <w:lang w:val="en-US"/>
        </w:rPr>
        <w:t xml:space="preserve">infrared </w:t>
      </w:r>
      <w:r>
        <w:rPr>
          <w:sz w:val="20"/>
          <w:szCs w:val="20"/>
          <w:lang w:val="en-US"/>
        </w:rPr>
        <w:t>light</w:t>
      </w:r>
      <w:r w:rsidRPr="00E67F28">
        <w:rPr>
          <w:sz w:val="20"/>
          <w:szCs w:val="20"/>
          <w:lang w:val="en-US"/>
        </w:rPr>
        <w:t xml:space="preserve"> in nonlinear crystal</w:t>
      </w:r>
      <w:r>
        <w:rPr>
          <w:sz w:val="20"/>
          <w:szCs w:val="20"/>
          <w:lang w:val="en-US"/>
        </w:rPr>
        <w:t xml:space="preserve">s emerged as a powerful alternative to more traditional methods. </w:t>
      </w:r>
      <w:proofErr w:type="gramStart"/>
      <w:r>
        <w:rPr>
          <w:sz w:val="20"/>
          <w:szCs w:val="20"/>
          <w:lang w:val="en-US"/>
        </w:rPr>
        <w:t>In particular, optical</w:t>
      </w:r>
      <w:proofErr w:type="gramEnd"/>
      <w:r>
        <w:rPr>
          <w:sz w:val="20"/>
          <w:szCs w:val="20"/>
          <w:lang w:val="en-US"/>
        </w:rPr>
        <w:t xml:space="preserve"> rectification </w:t>
      </w:r>
      <w:r w:rsidRPr="00E67F28">
        <w:rPr>
          <w:sz w:val="20"/>
          <w:szCs w:val="20"/>
          <w:lang w:val="en-US"/>
        </w:rPr>
        <w:t>schemes</w:t>
      </w:r>
      <w:r>
        <w:rPr>
          <w:sz w:val="20"/>
          <w:szCs w:val="20"/>
          <w:lang w:val="en-US"/>
        </w:rPr>
        <w:t xml:space="preserve"> based on ytterbium (Yb) ultrafast lasers are now considered extremely promising [3]</w:t>
      </w:r>
      <w:r w:rsidRPr="00E67F28">
        <w:rPr>
          <w:sz w:val="20"/>
          <w:szCs w:val="20"/>
          <w:lang w:val="en-US"/>
        </w:rPr>
        <w:t xml:space="preserve">. </w:t>
      </w:r>
      <w:r>
        <w:rPr>
          <w:sz w:val="20"/>
          <w:szCs w:val="20"/>
          <w:lang w:val="en-US"/>
        </w:rPr>
        <w:t xml:space="preserve">Moreover, the use of an enhancement resonator able to store the infrared pulses from the Yb laser source boosts the power that can be used for optical rectification [4]. However, high-average power leads to a high thermal load for the nonlinear crystal. In addition, spatial deformation of the resonant mode can occur when the crystal is under stress inside the cavity, causing power losses and THz power drops. A crystal widely used is </w:t>
      </w:r>
      <w:r w:rsidRPr="00E67F28">
        <w:rPr>
          <w:sz w:val="20"/>
          <w:szCs w:val="20"/>
          <w:lang w:val="en-US"/>
        </w:rPr>
        <w:t>Gallium Phosphide (</w:t>
      </w:r>
      <w:proofErr w:type="spellStart"/>
      <w:r w:rsidRPr="00E67F28">
        <w:rPr>
          <w:sz w:val="20"/>
          <w:szCs w:val="20"/>
          <w:lang w:val="en-US"/>
        </w:rPr>
        <w:t>GaP</w:t>
      </w:r>
      <w:proofErr w:type="spellEnd"/>
      <w:r w:rsidRPr="00E67F28">
        <w:rPr>
          <w:sz w:val="20"/>
          <w:szCs w:val="20"/>
          <w:lang w:val="en-US"/>
        </w:rPr>
        <w:t>)</w:t>
      </w:r>
      <w:r>
        <w:rPr>
          <w:sz w:val="20"/>
          <w:szCs w:val="20"/>
          <w:lang w:val="en-US"/>
        </w:rPr>
        <w:t xml:space="preserve"> [5].</w:t>
      </w:r>
      <w:r w:rsidRPr="00E67F28">
        <w:rPr>
          <w:sz w:val="20"/>
          <w:szCs w:val="20"/>
          <w:lang w:val="en-US"/>
        </w:rPr>
        <w:t xml:space="preserve"> </w:t>
      </w:r>
      <w:r>
        <w:rPr>
          <w:sz w:val="20"/>
          <w:szCs w:val="20"/>
          <w:lang w:val="en-US"/>
        </w:rPr>
        <w:t xml:space="preserve">Recently, Hekmat et al. [6] published an extensive study on the behavior of this crystal when used for single pass optical rectification in the presence of high power. In this work, we propose a preliminary study in a slightly different regime of operation for </w:t>
      </w:r>
      <w:proofErr w:type="spellStart"/>
      <w:r>
        <w:rPr>
          <w:sz w:val="20"/>
          <w:szCs w:val="20"/>
          <w:lang w:val="en-US"/>
        </w:rPr>
        <w:t>GaP</w:t>
      </w:r>
      <w:proofErr w:type="spellEnd"/>
      <w:r>
        <w:rPr>
          <w:sz w:val="20"/>
          <w:szCs w:val="20"/>
          <w:lang w:val="en-US"/>
        </w:rPr>
        <w:t xml:space="preserve"> crystals, exploiting an enhancement resonator to achieve an average power &gt; 300 W. This offers the chance to investigate the material properties at very high power together with the possibility of understanding the effect of </w:t>
      </w:r>
      <w:proofErr w:type="spellStart"/>
      <w:r>
        <w:rPr>
          <w:sz w:val="20"/>
          <w:szCs w:val="20"/>
          <w:lang w:val="en-US"/>
        </w:rPr>
        <w:t>GaP</w:t>
      </w:r>
      <w:proofErr w:type="spellEnd"/>
      <w:r>
        <w:rPr>
          <w:sz w:val="20"/>
          <w:szCs w:val="20"/>
          <w:lang w:val="en-US"/>
        </w:rPr>
        <w:t>-induced mode deformation inside an enhancement cavity. W</w:t>
      </w:r>
      <w:r w:rsidRPr="00E67F28">
        <w:rPr>
          <w:sz w:val="20"/>
          <w:szCs w:val="20"/>
          <w:lang w:val="en-US"/>
        </w:rPr>
        <w:t>e propose a</w:t>
      </w:r>
      <w:r>
        <w:rPr>
          <w:sz w:val="20"/>
          <w:szCs w:val="20"/>
          <w:lang w:val="en-US"/>
        </w:rPr>
        <w:t xml:space="preserve">n </w:t>
      </w:r>
      <w:r w:rsidRPr="00E67F28">
        <w:rPr>
          <w:sz w:val="20"/>
          <w:szCs w:val="20"/>
          <w:lang w:val="en-US"/>
        </w:rPr>
        <w:t xml:space="preserve">experimental setup based </w:t>
      </w:r>
      <w:r>
        <w:rPr>
          <w:sz w:val="20"/>
          <w:szCs w:val="20"/>
          <w:lang w:val="en-US"/>
        </w:rPr>
        <w:t xml:space="preserve">on </w:t>
      </w:r>
      <w:proofErr w:type="gramStart"/>
      <w:r w:rsidRPr="00E67F28">
        <w:rPr>
          <w:sz w:val="20"/>
          <w:szCs w:val="20"/>
          <w:lang w:val="en-US"/>
        </w:rPr>
        <w:t>a</w:t>
      </w:r>
      <w:proofErr w:type="gramEnd"/>
      <w:r w:rsidRPr="00E67F28">
        <w:rPr>
          <w:sz w:val="20"/>
          <w:szCs w:val="20"/>
          <w:lang w:val="en-US"/>
        </w:rPr>
        <w:t xml:space="preserve"> </w:t>
      </w:r>
      <w:r>
        <w:rPr>
          <w:sz w:val="20"/>
          <w:szCs w:val="20"/>
          <w:lang w:val="en-US"/>
        </w:rPr>
        <w:t xml:space="preserve">amplified </w:t>
      </w:r>
      <w:r w:rsidRPr="00E67F28">
        <w:rPr>
          <w:sz w:val="20"/>
          <w:szCs w:val="20"/>
          <w:lang w:val="en-US"/>
        </w:rPr>
        <w:t>Y</w:t>
      </w:r>
      <w:r>
        <w:rPr>
          <w:sz w:val="20"/>
          <w:szCs w:val="20"/>
          <w:lang w:val="en-US"/>
        </w:rPr>
        <w:t xml:space="preserve">b fiber </w:t>
      </w:r>
      <w:r w:rsidRPr="00E67F28">
        <w:rPr>
          <w:sz w:val="20"/>
          <w:szCs w:val="20"/>
          <w:lang w:val="en-US"/>
        </w:rPr>
        <w:t>mode</w:t>
      </w:r>
      <w:r>
        <w:rPr>
          <w:sz w:val="20"/>
          <w:szCs w:val="20"/>
          <w:lang w:val="en-US"/>
        </w:rPr>
        <w:t>-</w:t>
      </w:r>
      <w:r w:rsidRPr="00E67F28">
        <w:rPr>
          <w:sz w:val="20"/>
          <w:szCs w:val="20"/>
          <w:lang w:val="en-US"/>
        </w:rPr>
        <w:t xml:space="preserve">locking laser </w:t>
      </w:r>
      <w:r>
        <w:rPr>
          <w:sz w:val="20"/>
          <w:szCs w:val="20"/>
          <w:lang w:val="en-US"/>
        </w:rPr>
        <w:t xml:space="preserve">(spectral width </w:t>
      </w:r>
      <w:r w:rsidRPr="00B5159D">
        <w:rPr>
          <w:sz w:val="20"/>
          <w:szCs w:val="20"/>
          <w:lang w:val="en-US"/>
        </w:rPr>
        <w:t>~</w:t>
      </w:r>
      <w:r>
        <w:rPr>
          <w:sz w:val="20"/>
          <w:szCs w:val="20"/>
          <w:lang w:val="en-US"/>
        </w:rPr>
        <w:t xml:space="preserve"> 7 nm around</w:t>
      </w:r>
      <w:r w:rsidRPr="00B5159D">
        <w:rPr>
          <w:sz w:val="20"/>
          <w:szCs w:val="20"/>
          <w:lang w:val="en-US"/>
        </w:rPr>
        <w:t xml:space="preserve"> </w:t>
      </w:r>
      <w:r>
        <w:rPr>
          <w:sz w:val="20"/>
          <w:szCs w:val="20"/>
          <w:lang w:val="en-US"/>
        </w:rPr>
        <w:t xml:space="preserve">1035 nm) </w:t>
      </w:r>
      <w:r w:rsidRPr="00E67F28">
        <w:rPr>
          <w:sz w:val="20"/>
          <w:szCs w:val="20"/>
          <w:lang w:val="en-US"/>
        </w:rPr>
        <w:t xml:space="preserve">with a repetition rate of nearly 100 MHz, </w:t>
      </w:r>
      <w:r>
        <w:rPr>
          <w:sz w:val="20"/>
          <w:szCs w:val="20"/>
          <w:lang w:val="en-US"/>
        </w:rPr>
        <w:t>with maximum power of 60 W, and</w:t>
      </w:r>
      <w:r w:rsidRPr="00E67F28">
        <w:rPr>
          <w:sz w:val="20"/>
          <w:szCs w:val="20"/>
          <w:lang w:val="en-US"/>
        </w:rPr>
        <w:t xml:space="preserve"> </w:t>
      </w:r>
      <w:r>
        <w:rPr>
          <w:sz w:val="20"/>
          <w:szCs w:val="20"/>
          <w:lang w:val="en-US"/>
        </w:rPr>
        <w:t xml:space="preserve">a </w:t>
      </w:r>
      <w:r w:rsidRPr="00E67F28">
        <w:rPr>
          <w:sz w:val="20"/>
          <w:szCs w:val="20"/>
          <w:lang w:val="en-US"/>
        </w:rPr>
        <w:t>pulse</w:t>
      </w:r>
      <w:r>
        <w:rPr>
          <w:sz w:val="20"/>
          <w:szCs w:val="20"/>
          <w:lang w:val="en-US"/>
        </w:rPr>
        <w:t xml:space="preserve"> length of</w:t>
      </w:r>
      <w:r w:rsidRPr="00E67F28">
        <w:rPr>
          <w:sz w:val="20"/>
          <w:szCs w:val="20"/>
          <w:lang w:val="en-US"/>
        </w:rPr>
        <w:t xml:space="preserve"> 370 fs. </w:t>
      </w:r>
      <w:r>
        <w:rPr>
          <w:sz w:val="20"/>
          <w:szCs w:val="20"/>
          <w:lang w:val="en-US"/>
        </w:rPr>
        <w:t>The amplified pulses are boosted to</w:t>
      </w:r>
      <w:r w:rsidRPr="00E67F28">
        <w:rPr>
          <w:sz w:val="20"/>
          <w:szCs w:val="20"/>
          <w:lang w:val="en-US"/>
        </w:rPr>
        <w:t xml:space="preserve"> nearly </w:t>
      </w:r>
      <w:r>
        <w:rPr>
          <w:sz w:val="20"/>
          <w:szCs w:val="20"/>
          <w:lang w:val="en-US"/>
        </w:rPr>
        <w:t>30</w:t>
      </w:r>
      <w:r w:rsidRPr="00E67F28">
        <w:rPr>
          <w:sz w:val="20"/>
          <w:szCs w:val="20"/>
          <w:lang w:val="en-US"/>
        </w:rPr>
        <w:t xml:space="preserve">0 W </w:t>
      </w:r>
      <w:r>
        <w:rPr>
          <w:sz w:val="20"/>
          <w:szCs w:val="20"/>
          <w:lang w:val="en-US"/>
        </w:rPr>
        <w:t xml:space="preserve">using an </w:t>
      </w:r>
      <w:r w:rsidRPr="00E67F28">
        <w:rPr>
          <w:sz w:val="20"/>
          <w:szCs w:val="20"/>
          <w:lang w:val="en-US"/>
        </w:rPr>
        <w:t>enhancement cavity</w:t>
      </w:r>
      <w:r>
        <w:rPr>
          <w:sz w:val="20"/>
          <w:szCs w:val="20"/>
          <w:lang w:val="en-US"/>
        </w:rPr>
        <w:t xml:space="preserve"> inside which</w:t>
      </w:r>
      <w:r w:rsidRPr="00E67F28">
        <w:rPr>
          <w:sz w:val="20"/>
          <w:szCs w:val="20"/>
          <w:lang w:val="en-US"/>
        </w:rPr>
        <w:t xml:space="preserve"> </w:t>
      </w:r>
      <w:r>
        <w:rPr>
          <w:sz w:val="20"/>
          <w:szCs w:val="20"/>
          <w:lang w:val="en-US"/>
        </w:rPr>
        <w:t>optical</w:t>
      </w:r>
      <w:r w:rsidRPr="00E67F28">
        <w:rPr>
          <w:sz w:val="20"/>
          <w:szCs w:val="20"/>
          <w:lang w:val="en-US"/>
        </w:rPr>
        <w:t xml:space="preserve"> rectification in a </w:t>
      </w:r>
      <w:proofErr w:type="spellStart"/>
      <w:r w:rsidRPr="00E67F28">
        <w:rPr>
          <w:sz w:val="20"/>
          <w:szCs w:val="20"/>
          <w:lang w:val="en-US"/>
        </w:rPr>
        <w:t>GaP</w:t>
      </w:r>
      <w:proofErr w:type="spellEnd"/>
      <w:r w:rsidRPr="00E67F28">
        <w:rPr>
          <w:sz w:val="20"/>
          <w:szCs w:val="20"/>
          <w:lang w:val="en-US"/>
        </w:rPr>
        <w:t xml:space="preserve"> crystal</w:t>
      </w:r>
      <w:r>
        <w:rPr>
          <w:sz w:val="20"/>
          <w:szCs w:val="20"/>
          <w:lang w:val="en-US"/>
        </w:rPr>
        <w:t xml:space="preserve"> takes place</w:t>
      </w:r>
      <w:r w:rsidRPr="00E67F28">
        <w:rPr>
          <w:sz w:val="20"/>
          <w:szCs w:val="20"/>
          <w:lang w:val="en-US"/>
        </w:rPr>
        <w:t xml:space="preserve">. </w:t>
      </w:r>
      <w:r>
        <w:rPr>
          <w:sz w:val="20"/>
          <w:szCs w:val="20"/>
          <w:lang w:val="en-US"/>
        </w:rPr>
        <w:t xml:space="preserve">This way, modal instabilities and high-power-induced effects on </w:t>
      </w:r>
      <w:proofErr w:type="spellStart"/>
      <w:r>
        <w:rPr>
          <w:sz w:val="20"/>
          <w:szCs w:val="20"/>
          <w:lang w:val="en-US"/>
        </w:rPr>
        <w:t>GaP</w:t>
      </w:r>
      <w:proofErr w:type="spellEnd"/>
      <w:r>
        <w:rPr>
          <w:sz w:val="20"/>
          <w:szCs w:val="20"/>
          <w:lang w:val="en-US"/>
        </w:rPr>
        <w:t xml:space="preserve"> are observable and characterizable together with the THz generation efficiency. Even if modal instabilities partially limit the maximum gain achievable with the enhancement cavity, the comprehension of the phenomenon will soon allow the implementation of mitigation strategies to fully exploit the advantage of optical rectification in an enhancement cavity for t</w:t>
      </w:r>
      <w:r w:rsidRPr="00E67F28">
        <w:rPr>
          <w:sz w:val="20"/>
          <w:szCs w:val="20"/>
          <w:lang w:val="en-US"/>
        </w:rPr>
        <w:t xml:space="preserve">he high repetition rate and the milliwatt level average power </w:t>
      </w:r>
      <w:r>
        <w:rPr>
          <w:sz w:val="20"/>
          <w:szCs w:val="20"/>
          <w:lang w:val="en-US"/>
        </w:rPr>
        <w:t xml:space="preserve">THz generation, </w:t>
      </w:r>
      <w:r w:rsidRPr="00E67F28">
        <w:rPr>
          <w:sz w:val="20"/>
          <w:szCs w:val="20"/>
          <w:lang w:val="en-US"/>
        </w:rPr>
        <w:t>open</w:t>
      </w:r>
      <w:r>
        <w:rPr>
          <w:sz w:val="20"/>
          <w:szCs w:val="20"/>
          <w:lang w:val="en-US"/>
        </w:rPr>
        <w:t>ing</w:t>
      </w:r>
      <w:r w:rsidRPr="00E67F28">
        <w:rPr>
          <w:sz w:val="20"/>
          <w:szCs w:val="20"/>
          <w:lang w:val="en-US"/>
        </w:rPr>
        <w:t xml:space="preserve"> the </w:t>
      </w:r>
      <w:r>
        <w:rPr>
          <w:sz w:val="20"/>
          <w:szCs w:val="20"/>
          <w:lang w:val="en-US"/>
        </w:rPr>
        <w:t>way to</w:t>
      </w:r>
      <w:r w:rsidRPr="00E67F28">
        <w:rPr>
          <w:sz w:val="20"/>
          <w:szCs w:val="20"/>
          <w:lang w:val="en-US"/>
        </w:rPr>
        <w:t xml:space="preserve"> promising </w:t>
      </w:r>
      <w:r>
        <w:rPr>
          <w:sz w:val="20"/>
          <w:szCs w:val="20"/>
          <w:lang w:val="en-US"/>
        </w:rPr>
        <w:t>applications in the THz region.</w:t>
      </w:r>
    </w:p>
    <w:p w14:paraId="396ED2A8" w14:textId="77777777" w:rsidR="004C0F88" w:rsidRDefault="004C0F88" w:rsidP="004C0F88">
      <w:pPr>
        <w:pStyle w:val="MCSectionHead"/>
        <w:spacing w:before="0"/>
        <w:jc w:val="left"/>
      </w:pPr>
    </w:p>
    <w:p w14:paraId="6B945597" w14:textId="77777777" w:rsidR="004C0F88" w:rsidRDefault="004C0F88" w:rsidP="004C0F88">
      <w:pPr>
        <w:pStyle w:val="MCSectionHead"/>
        <w:spacing w:before="0"/>
        <w:jc w:val="left"/>
      </w:pPr>
      <w:r w:rsidRPr="00693678">
        <w:t>2</w:t>
      </w:r>
      <w:r w:rsidRPr="00A674FD">
        <w:rPr>
          <w:b w:val="0"/>
        </w:rPr>
        <w:t>.</w:t>
      </w:r>
      <w:r>
        <w:t xml:space="preserve"> Intracavity optical rectification experiment</w:t>
      </w:r>
    </w:p>
    <w:p w14:paraId="34A46489" w14:textId="77777777" w:rsidR="004C0F88" w:rsidRPr="007A1DCF" w:rsidRDefault="004C0F88" w:rsidP="004C0F88">
      <w:pPr>
        <w:pStyle w:val="MCSectionHead"/>
        <w:spacing w:before="0"/>
        <w:rPr>
          <w:b w:val="0"/>
          <w:bCs/>
        </w:rPr>
      </w:pPr>
      <w:r w:rsidRPr="007A1DCF">
        <w:rPr>
          <w:b w:val="0"/>
          <w:bCs/>
        </w:rPr>
        <w:t>The experimental setup for intracavity THz generation is shown in Figure 1a. A Yb mode-locked fiber laser produces pulses at 1035 nm with a 92.857-MHz repetition rate. A high-power fiber amplifier raises the average power to a maximum of 60 W. Chirped volume Bragg grating</w:t>
      </w:r>
      <w:r>
        <w:rPr>
          <w:b w:val="0"/>
          <w:bCs/>
        </w:rPr>
        <w:t>s</w:t>
      </w:r>
      <w:r w:rsidRPr="007A1DCF">
        <w:rPr>
          <w:b w:val="0"/>
          <w:bCs/>
        </w:rPr>
        <w:t xml:space="preserve"> are used to stretch and recompress the pulse length to 370 fs</w:t>
      </w:r>
      <w:r>
        <w:rPr>
          <w:b w:val="0"/>
          <w:bCs/>
        </w:rPr>
        <w:t xml:space="preserve">. </w:t>
      </w:r>
      <w:r w:rsidRPr="007A1DCF">
        <w:rPr>
          <w:b w:val="0"/>
          <w:bCs/>
        </w:rPr>
        <w:t>Then the laser pulses are coupled to an enhancement cavity, where they interact with a</w:t>
      </w:r>
      <w:r>
        <w:rPr>
          <w:b w:val="0"/>
          <w:bCs/>
        </w:rPr>
        <w:t>n</w:t>
      </w:r>
      <w:r w:rsidRPr="007A1DCF">
        <w:rPr>
          <w:b w:val="0"/>
          <w:bCs/>
        </w:rPr>
        <w:t xml:space="preserve"> AR-coated </w:t>
      </w:r>
      <w:proofErr w:type="spellStart"/>
      <w:r w:rsidRPr="007A1DCF">
        <w:rPr>
          <w:b w:val="0"/>
          <w:bCs/>
        </w:rPr>
        <w:t>GaP</w:t>
      </w:r>
      <w:proofErr w:type="spellEnd"/>
      <w:r w:rsidRPr="007A1DCF">
        <w:rPr>
          <w:b w:val="0"/>
          <w:bCs/>
        </w:rPr>
        <w:t xml:space="preserve"> crystal to produce THz waves via optical rectification</w:t>
      </w:r>
      <w:r>
        <w:rPr>
          <w:b w:val="0"/>
          <w:bCs/>
        </w:rPr>
        <w:t xml:space="preserve">. </w:t>
      </w:r>
      <w:r w:rsidRPr="007A1DCF">
        <w:rPr>
          <w:b w:val="0"/>
          <w:bCs/>
        </w:rPr>
        <w:t xml:space="preserve">Initial tests have been performed with a 2-mm tick crystal, but we plan to compare the performances with 1-mm and 0.5-mm crystals. The interaction area </w:t>
      </w:r>
      <w:r w:rsidRPr="00016BE5">
        <w:rPr>
          <w:b w:val="0"/>
          <w:bCs/>
        </w:rPr>
        <w:t>is ~ 1</w:t>
      </w:r>
      <w:r>
        <w:t xml:space="preserve"> </w:t>
      </w:r>
      <w:r>
        <w:rPr>
          <w:b w:val="0"/>
          <w:bCs/>
        </w:rPr>
        <w:t>mm</w:t>
      </w:r>
      <w:r>
        <w:rPr>
          <w:b w:val="0"/>
          <w:bCs/>
          <w:vertAlign w:val="superscript"/>
        </w:rPr>
        <w:t>2</w:t>
      </w:r>
      <w:r>
        <w:rPr>
          <w:b w:val="0"/>
          <w:bCs/>
        </w:rPr>
        <w:t>.</w:t>
      </w:r>
      <w:r w:rsidRPr="007A1DCF">
        <w:rPr>
          <w:b w:val="0"/>
          <w:bCs/>
        </w:rPr>
        <w:t xml:space="preserve"> The cavity design recalls the one already exploited for previous studies with different applications that can be found in Ref</w:t>
      </w:r>
      <w:r>
        <w:rPr>
          <w:b w:val="0"/>
          <w:bCs/>
        </w:rPr>
        <w:t>s</w:t>
      </w:r>
      <w:r w:rsidRPr="007A1DCF">
        <w:rPr>
          <w:b w:val="0"/>
          <w:bCs/>
        </w:rPr>
        <w:t>.</w:t>
      </w:r>
      <w:r>
        <w:rPr>
          <w:b w:val="0"/>
          <w:bCs/>
        </w:rPr>
        <w:t xml:space="preserve"> </w:t>
      </w:r>
      <w:r w:rsidRPr="007A1DCF">
        <w:rPr>
          <w:b w:val="0"/>
          <w:bCs/>
        </w:rPr>
        <w:t>[</w:t>
      </w:r>
      <w:r>
        <w:rPr>
          <w:b w:val="0"/>
          <w:bCs/>
        </w:rPr>
        <w:t>7,8</w:t>
      </w:r>
      <w:r w:rsidRPr="007A1DCF">
        <w:rPr>
          <w:b w:val="0"/>
          <w:bCs/>
        </w:rPr>
        <w:t xml:space="preserve">]. As a difference, the finesse is lowered by the presence of the </w:t>
      </w:r>
      <w:proofErr w:type="spellStart"/>
      <w:r w:rsidRPr="007A1DCF">
        <w:rPr>
          <w:b w:val="0"/>
          <w:bCs/>
        </w:rPr>
        <w:t>GaP</w:t>
      </w:r>
      <w:proofErr w:type="spellEnd"/>
      <w:r w:rsidRPr="007A1DCF">
        <w:rPr>
          <w:b w:val="0"/>
          <w:bCs/>
        </w:rPr>
        <w:t xml:space="preserve"> crystal (losses ~ 10%), increased group delay dispersion, and low reflectivity of the input coupler (84%). The resonant mode is monitored with a CCD camera outside the cavity. We estimate a maximum gain factor of </w:t>
      </w:r>
      <w:r>
        <w:rPr>
          <w:b w:val="0"/>
          <w:bCs/>
        </w:rPr>
        <w:t>14</w:t>
      </w:r>
      <w:r w:rsidRPr="007A1DCF">
        <w:rPr>
          <w:b w:val="0"/>
          <w:bCs/>
        </w:rPr>
        <w:t xml:space="preserve">. This way, at the interaction point with the </w:t>
      </w:r>
      <w:proofErr w:type="spellStart"/>
      <w:r w:rsidRPr="007A1DCF">
        <w:rPr>
          <w:b w:val="0"/>
          <w:bCs/>
        </w:rPr>
        <w:t>GaP</w:t>
      </w:r>
      <w:proofErr w:type="spellEnd"/>
      <w:r w:rsidRPr="007A1DCF">
        <w:rPr>
          <w:b w:val="0"/>
          <w:bCs/>
        </w:rPr>
        <w:t>, powers &gt; 300 W can be reached.</w:t>
      </w:r>
    </w:p>
    <w:p w14:paraId="21B1BE27" w14:textId="77777777" w:rsidR="004C0F88" w:rsidRDefault="004C0F88" w:rsidP="004C0F88">
      <w:pPr>
        <w:pStyle w:val="ListParagraph"/>
        <w:keepNext/>
        <w:tabs>
          <w:tab w:val="left" w:pos="619"/>
        </w:tabs>
        <w:spacing w:before="125"/>
        <w:ind w:left="120"/>
        <w:jc w:val="center"/>
        <w:rPr>
          <w:rFonts w:ascii="Times New Roman" w:hAnsi="Times New Roman" w:cs="Times New Roman"/>
          <w:iCs/>
          <w:sz w:val="20"/>
        </w:rPr>
      </w:pPr>
      <w:r>
        <w:rPr>
          <w:noProof/>
        </w:rPr>
        <w:lastRenderedPageBreak/>
        <mc:AlternateContent>
          <mc:Choice Requires="wps">
            <w:drawing>
              <wp:anchor distT="0" distB="0" distL="114300" distR="114300" simplePos="0" relativeHeight="251663360" behindDoc="0" locked="0" layoutInCell="1" allowOverlap="1" wp14:anchorId="49FEDFC9" wp14:editId="51DBF26B">
                <wp:simplePos x="0" y="0"/>
                <wp:positionH relativeFrom="column">
                  <wp:posOffset>-97790</wp:posOffset>
                </wp:positionH>
                <wp:positionV relativeFrom="paragraph">
                  <wp:posOffset>2024089</wp:posOffset>
                </wp:positionV>
                <wp:extent cx="6098540" cy="603885"/>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6098540" cy="603885"/>
                        </a:xfrm>
                        <a:prstGeom prst="rect">
                          <a:avLst/>
                        </a:prstGeom>
                        <a:noFill/>
                        <a:ln w="6350">
                          <a:noFill/>
                        </a:ln>
                      </wps:spPr>
                      <wps:txbx>
                        <w:txbxContent>
                          <w:p w14:paraId="23EAB1DA" w14:textId="77777777" w:rsidR="004C0F88" w:rsidRPr="007A1DCF" w:rsidRDefault="004C0F88" w:rsidP="004C0F88">
                            <w:pPr>
                              <w:pStyle w:val="Caption"/>
                              <w:jc w:val="both"/>
                              <w:rPr>
                                <w:i w:val="0"/>
                                <w:iCs w:val="0"/>
                                <w:color w:val="000000" w:themeColor="text1"/>
                                <w:sz w:val="16"/>
                                <w:szCs w:val="16"/>
                              </w:rPr>
                            </w:pPr>
                            <w:r w:rsidRPr="007A1DCF">
                              <w:rPr>
                                <w:i w:val="0"/>
                                <w:iCs w:val="0"/>
                                <w:color w:val="000000" w:themeColor="text1"/>
                                <w:sz w:val="16"/>
                                <w:szCs w:val="16"/>
                              </w:rPr>
                              <w:t xml:space="preserve">Fig. </w:t>
                            </w:r>
                            <w:r w:rsidRPr="007A1DCF">
                              <w:rPr>
                                <w:i w:val="0"/>
                                <w:iCs w:val="0"/>
                                <w:color w:val="000000" w:themeColor="text1"/>
                                <w:sz w:val="16"/>
                                <w:szCs w:val="16"/>
                              </w:rPr>
                              <w:fldChar w:fldCharType="begin"/>
                            </w:r>
                            <w:r w:rsidRPr="007A1DCF">
                              <w:rPr>
                                <w:i w:val="0"/>
                                <w:iCs w:val="0"/>
                                <w:color w:val="000000" w:themeColor="text1"/>
                                <w:sz w:val="16"/>
                                <w:szCs w:val="16"/>
                              </w:rPr>
                              <w:instrText xml:space="preserve"> SEQ Fig. \* ARABIC </w:instrText>
                            </w:r>
                            <w:r w:rsidRPr="007A1DCF">
                              <w:rPr>
                                <w:i w:val="0"/>
                                <w:iCs w:val="0"/>
                                <w:color w:val="000000" w:themeColor="text1"/>
                                <w:sz w:val="16"/>
                                <w:szCs w:val="16"/>
                              </w:rPr>
                              <w:fldChar w:fldCharType="separate"/>
                            </w:r>
                            <w:r w:rsidRPr="007A1DCF">
                              <w:rPr>
                                <w:i w:val="0"/>
                                <w:iCs w:val="0"/>
                                <w:noProof/>
                                <w:color w:val="000000" w:themeColor="text1"/>
                                <w:sz w:val="16"/>
                                <w:szCs w:val="16"/>
                              </w:rPr>
                              <w:t>1</w:t>
                            </w:r>
                            <w:r w:rsidRPr="007A1DCF">
                              <w:rPr>
                                <w:i w:val="0"/>
                                <w:iCs w:val="0"/>
                                <w:color w:val="000000" w:themeColor="text1"/>
                                <w:sz w:val="16"/>
                                <w:szCs w:val="16"/>
                              </w:rPr>
                              <w:fldChar w:fldCharType="end"/>
                            </w:r>
                            <w:r w:rsidRPr="007A1DCF">
                              <w:rPr>
                                <w:i w:val="0"/>
                                <w:iCs w:val="0"/>
                                <w:color w:val="000000" w:themeColor="text1"/>
                                <w:sz w:val="16"/>
                                <w:szCs w:val="16"/>
                              </w:rPr>
                              <w:t>. Panel (a): Experimental setup. MLL: mode-locked laser, HWP/QWP: half /quarter waveplate, CVBG: chirped volume Bragg grating, HPA: high power amplifier, DM: dichroic mirror, EC: enhancement cavity, PM: parabolic mirrors. Panel (b): Generated THz power in single pass configuration and with an enhancement resonator (left axis) and cavity gain (right axis) as a function of infrared laser power. Cavity modes acquired with CCD camera are shown for each power.</w:t>
                            </w:r>
                          </w:p>
                          <w:p w14:paraId="7DB5B1D0" w14:textId="77777777" w:rsidR="004C0F88" w:rsidRPr="004C0F88" w:rsidRDefault="004C0F88" w:rsidP="004C0F8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EDFC9" id="_x0000_t202" coordsize="21600,21600" o:spt="202" path="m,l,21600r21600,l21600,xe">
                <v:stroke joinstyle="miter"/>
                <v:path gradientshapeok="t" o:connecttype="rect"/>
              </v:shapetype>
              <v:shape id="Casella di testo 2" o:spid="_x0000_s1026" type="#_x0000_t202" style="position:absolute;left:0;text-align:left;margin-left:-7.7pt;margin-top:159.4pt;width:480.2pt;height:4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" filled="f" stroked="f" strokeweight=".5pt">
                <v:textbox>
                  <w:txbxContent>
                    <w:p w14:paraId="23EAB1DA" w14:textId="77777777" w:rsidR="004C0F88" w:rsidRPr="007A1DCF" w:rsidRDefault="004C0F88" w:rsidP="004C0F88">
                      <w:pPr>
                        <w:pStyle w:val="Caption"/>
                        <w:jc w:val="both"/>
                        <w:rPr>
                          <w:i w:val="0"/>
                          <w:iCs w:val="0"/>
                          <w:color w:val="000000" w:themeColor="text1"/>
                          <w:sz w:val="16"/>
                          <w:szCs w:val="16"/>
                        </w:rPr>
                      </w:pPr>
                      <w:r w:rsidRPr="007A1DCF">
                        <w:rPr>
                          <w:i w:val="0"/>
                          <w:iCs w:val="0"/>
                          <w:color w:val="000000" w:themeColor="text1"/>
                          <w:sz w:val="16"/>
                          <w:szCs w:val="16"/>
                        </w:rPr>
                        <w:t xml:space="preserve">Fig. </w:t>
                      </w:r>
                      <w:r w:rsidRPr="007A1DCF">
                        <w:rPr>
                          <w:i w:val="0"/>
                          <w:iCs w:val="0"/>
                          <w:color w:val="000000" w:themeColor="text1"/>
                          <w:sz w:val="16"/>
                          <w:szCs w:val="16"/>
                        </w:rPr>
                        <w:fldChar w:fldCharType="begin"/>
                      </w:r>
                      <w:r w:rsidRPr="007A1DCF">
                        <w:rPr>
                          <w:i w:val="0"/>
                          <w:iCs w:val="0"/>
                          <w:color w:val="000000" w:themeColor="text1"/>
                          <w:sz w:val="16"/>
                          <w:szCs w:val="16"/>
                        </w:rPr>
                        <w:instrText xml:space="preserve"> SEQ Fig. \* ARABIC </w:instrText>
                      </w:r>
                      <w:r w:rsidRPr="007A1DCF">
                        <w:rPr>
                          <w:i w:val="0"/>
                          <w:iCs w:val="0"/>
                          <w:color w:val="000000" w:themeColor="text1"/>
                          <w:sz w:val="16"/>
                          <w:szCs w:val="16"/>
                        </w:rPr>
                        <w:fldChar w:fldCharType="separate"/>
                      </w:r>
                      <w:r w:rsidRPr="007A1DCF">
                        <w:rPr>
                          <w:i w:val="0"/>
                          <w:iCs w:val="0"/>
                          <w:noProof/>
                          <w:color w:val="000000" w:themeColor="text1"/>
                          <w:sz w:val="16"/>
                          <w:szCs w:val="16"/>
                        </w:rPr>
                        <w:t>1</w:t>
                      </w:r>
                      <w:r w:rsidRPr="007A1DCF">
                        <w:rPr>
                          <w:i w:val="0"/>
                          <w:iCs w:val="0"/>
                          <w:color w:val="000000" w:themeColor="text1"/>
                          <w:sz w:val="16"/>
                          <w:szCs w:val="16"/>
                        </w:rPr>
                        <w:fldChar w:fldCharType="end"/>
                      </w:r>
                      <w:r w:rsidRPr="007A1DCF">
                        <w:rPr>
                          <w:i w:val="0"/>
                          <w:iCs w:val="0"/>
                          <w:color w:val="000000" w:themeColor="text1"/>
                          <w:sz w:val="16"/>
                          <w:szCs w:val="16"/>
                        </w:rPr>
                        <w:t>. Panel (a): Experimental setup. MLL: mode-locked laser, HWP/QWP: half /quarter waveplate, CVBG: chirped volume Bragg grating, HPA: high power amplifier, DM: dichroic mirror, EC: enhancement cavity, PM: parabolic mirrors. Panel (b): Generated THz power in single pass configuration and with an enhancement resonator (left axis) and cavity gain (right axis) as a function of infrared laser power. Cavity modes acquired with CCD camera are shown for each power.</w:t>
                      </w:r>
                    </w:p>
                    <w:p w14:paraId="7DB5B1D0" w14:textId="77777777" w:rsidR="004C0F88" w:rsidRPr="004C0F88" w:rsidRDefault="004C0F88" w:rsidP="004C0F88">
                      <w:pPr>
                        <w:rPr>
                          <w:lang w:val="en-US"/>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DEFC8E3" wp14:editId="72FA9A62">
                <wp:simplePos x="0" y="0"/>
                <wp:positionH relativeFrom="column">
                  <wp:posOffset>2209690</wp:posOffset>
                </wp:positionH>
                <wp:positionV relativeFrom="paragraph">
                  <wp:posOffset>774065</wp:posOffset>
                </wp:positionV>
                <wp:extent cx="1104707" cy="252096"/>
                <wp:effectExtent l="0" t="5715" r="0" b="0"/>
                <wp:wrapNone/>
                <wp:docPr id="9" name="Casella di testo 9"/>
                <wp:cNvGraphicFramePr/>
                <a:graphic xmlns:a="http://schemas.openxmlformats.org/drawingml/2006/main">
                  <a:graphicData uri="http://schemas.microsoft.com/office/word/2010/wordprocessingShape">
                    <wps:wsp>
                      <wps:cNvSpPr txBox="1"/>
                      <wps:spPr>
                        <a:xfrm rot="16200000">
                          <a:off x="0" y="0"/>
                          <a:ext cx="1104707" cy="252096"/>
                        </a:xfrm>
                        <a:prstGeom prst="rect">
                          <a:avLst/>
                        </a:prstGeom>
                        <a:solidFill>
                          <a:schemeClr val="lt1"/>
                        </a:solidFill>
                        <a:ln w="6350">
                          <a:noFill/>
                        </a:ln>
                      </wps:spPr>
                      <wps:txbx>
                        <w:txbxContent>
                          <w:p w14:paraId="6D183DF4" w14:textId="77777777" w:rsidR="004C0F88" w:rsidRPr="00D01F5C" w:rsidRDefault="004C0F88" w:rsidP="004C0F88">
                            <w:pPr>
                              <w:rPr>
                                <w:sz w:val="18"/>
                                <w:szCs w:val="18"/>
                              </w:rPr>
                            </w:pPr>
                            <w:r w:rsidRPr="00D01F5C">
                              <w:rPr>
                                <w:rFonts w:eastAsiaTheme="minorEastAsia"/>
                                <w:sz w:val="18"/>
                                <w:szCs w:val="18"/>
                              </w:rPr>
                              <w:t>THz power (</w:t>
                            </w:r>
                            <m:oMath>
                              <m:r>
                                <m:rPr>
                                  <m:sty m:val="p"/>
                                </m:rPr>
                                <w:rPr>
                                  <w:rFonts w:ascii="Cambria Math" w:hAnsi="Cambria Math"/>
                                  <w:sz w:val="18"/>
                                  <w:szCs w:val="18"/>
                                </w:rPr>
                                <m:t>μW)</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FC8E3" id="Casella di testo 9" o:spid="_x0000_s1027" type="#_x0000_t202" style="position:absolute;left:0;text-align:left;margin-left:174pt;margin-top:60.95pt;width:87pt;height:19.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" fillcolor="white [3201]" stroked="f" strokeweight=".5pt">
                <v:textbox>
                  <w:txbxContent>
                    <w:p w14:paraId="6D183DF4" w14:textId="77777777" w:rsidR="004C0F88" w:rsidRPr="00D01F5C" w:rsidRDefault="004C0F88" w:rsidP="004C0F88">
                      <w:pPr>
                        <w:rPr>
                          <w:sz w:val="18"/>
                          <w:szCs w:val="18"/>
                        </w:rPr>
                      </w:pPr>
                      <w:r w:rsidRPr="00D01F5C">
                        <w:rPr>
                          <w:rFonts w:eastAsiaTheme="minorEastAsia"/>
                          <w:sz w:val="18"/>
                          <w:szCs w:val="18"/>
                        </w:rPr>
                        <w:t>THz power (</w:t>
                      </w:r>
                      <m:oMath>
                        <m:r>
                          <m:rPr>
                            <m:sty m:val="p"/>
                          </m:rPr>
                          <w:rPr>
                            <w:rFonts w:ascii="Cambria Math" w:hAnsi="Cambria Math"/>
                            <w:sz w:val="18"/>
                            <w:szCs w:val="18"/>
                          </w:rPr>
                          <m:t>μW)</m:t>
                        </m:r>
                      </m:oMath>
                    </w:p>
                  </w:txbxContent>
                </v:textbox>
              </v:shape>
            </w:pict>
          </mc:Fallback>
        </mc:AlternateContent>
      </w:r>
      <w:r>
        <w:rPr>
          <w:noProof/>
        </w:rPr>
        <w:drawing>
          <wp:anchor distT="0" distB="0" distL="114300" distR="114300" simplePos="0" relativeHeight="251660288" behindDoc="0" locked="0" layoutInCell="1" allowOverlap="1" wp14:anchorId="13018D6D" wp14:editId="3D9B50C3">
            <wp:simplePos x="0" y="0"/>
            <wp:positionH relativeFrom="column">
              <wp:posOffset>575047</wp:posOffset>
            </wp:positionH>
            <wp:positionV relativeFrom="paragraph">
              <wp:posOffset>335915</wp:posOffset>
            </wp:positionV>
            <wp:extent cx="444684" cy="200107"/>
            <wp:effectExtent l="0" t="0" r="0" b="3175"/>
            <wp:wrapNone/>
            <wp:docPr id="7" name="Immagine 7" descr="Immagine che contiene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Elementi grafici, design&#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4684" cy="20010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Cs/>
          <w:noProof/>
          <w:sz w:val="20"/>
        </w:rPr>
        <mc:AlternateContent>
          <mc:Choice Requires="wpg">
            <w:drawing>
              <wp:anchor distT="0" distB="0" distL="114300" distR="114300" simplePos="0" relativeHeight="251659264" behindDoc="0" locked="0" layoutInCell="1" allowOverlap="1" wp14:anchorId="0A760B3B" wp14:editId="6D99875C">
                <wp:simplePos x="0" y="0"/>
                <wp:positionH relativeFrom="column">
                  <wp:posOffset>155121</wp:posOffset>
                </wp:positionH>
                <wp:positionV relativeFrom="paragraph">
                  <wp:posOffset>32657</wp:posOffset>
                </wp:positionV>
                <wp:extent cx="2709166" cy="358923"/>
                <wp:effectExtent l="0" t="0" r="0" b="0"/>
                <wp:wrapNone/>
                <wp:docPr id="6" name="Gruppo 6"/>
                <wp:cNvGraphicFramePr/>
                <a:graphic xmlns:a="http://schemas.openxmlformats.org/drawingml/2006/main">
                  <a:graphicData uri="http://schemas.microsoft.com/office/word/2010/wordprocessingGroup">
                    <wpg:wgp>
                      <wpg:cNvGrpSpPr/>
                      <wpg:grpSpPr>
                        <a:xfrm>
                          <a:off x="0" y="0"/>
                          <a:ext cx="2709166" cy="358923"/>
                          <a:chOff x="204107" y="0"/>
                          <a:chExt cx="2709166" cy="358923"/>
                        </a:xfrm>
                      </wpg:grpSpPr>
                      <wps:wsp>
                        <wps:cNvPr id="4" name="Casella di testo 4"/>
                        <wps:cNvSpPr txBox="1"/>
                        <wps:spPr>
                          <a:xfrm>
                            <a:off x="204107" y="0"/>
                            <a:ext cx="444381" cy="358923"/>
                          </a:xfrm>
                          <a:prstGeom prst="rect">
                            <a:avLst/>
                          </a:prstGeom>
                          <a:noFill/>
                          <a:ln w="6350">
                            <a:noFill/>
                          </a:ln>
                        </wps:spPr>
                        <wps:txbx>
                          <w:txbxContent>
                            <w:p w14:paraId="64BCA686" w14:textId="77777777" w:rsidR="004C0F88" w:rsidRPr="00422A90" w:rsidRDefault="004C0F88" w:rsidP="004C0F8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Casella di testo 5"/>
                        <wps:cNvSpPr txBox="1"/>
                        <wps:spPr>
                          <a:xfrm>
                            <a:off x="2562896" y="0"/>
                            <a:ext cx="350377" cy="358923"/>
                          </a:xfrm>
                          <a:prstGeom prst="rect">
                            <a:avLst/>
                          </a:prstGeom>
                          <a:noFill/>
                          <a:ln w="6350">
                            <a:noFill/>
                          </a:ln>
                        </wps:spPr>
                        <wps:txbx>
                          <w:txbxContent>
                            <w:p w14:paraId="179AEC7E" w14:textId="77777777" w:rsidR="004C0F88" w:rsidRPr="00422A90" w:rsidRDefault="004C0F88" w:rsidP="004C0F8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A760B3B" id="Gruppo 6" o:spid="_x0000_s1028" style="position:absolute;left:0;text-align:left;margin-left:12.2pt;margin-top:2.55pt;width:213.3pt;height:28.25pt;z-index:251659264;mso-width-relative:margin" coordorigin="2041" coordsize="27091,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">
                <v:shape id="Casella di testo 4" o:spid="_x0000_s1029" type="#_x0000_t202" style="position:absolute;left:2041;width:4443;height: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64BCA686" w14:textId="77777777" w:rsidR="004C0F88" w:rsidRPr="00422A90" w:rsidRDefault="004C0F88" w:rsidP="004C0F88">
                        <w:r>
                          <w:t>(a)</w:t>
                        </w:r>
                      </w:p>
                    </w:txbxContent>
                  </v:textbox>
                </v:shape>
                <v:shape id="Casella di testo 5" o:spid="_x0000_s1030" type="#_x0000_t202" style="position:absolute;left:25628;width:3504;height: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79AEC7E" w14:textId="77777777" w:rsidR="004C0F88" w:rsidRPr="00422A90" w:rsidRDefault="004C0F88" w:rsidP="004C0F88">
                        <w:r>
                          <w:t>(b)</w:t>
                        </w:r>
                      </w:p>
                    </w:txbxContent>
                  </v:textbox>
                </v:shape>
              </v:group>
            </w:pict>
          </mc:Fallback>
        </mc:AlternateContent>
      </w:r>
      <w:r>
        <w:rPr>
          <w:rFonts w:ascii="Times New Roman" w:hAnsi="Times New Roman" w:cs="Times New Roman"/>
          <w:iCs/>
          <w:noProof/>
          <w:sz w:val="20"/>
        </w:rPr>
        <w:drawing>
          <wp:inline distT="0" distB="0" distL="0" distR="0" wp14:anchorId="35EAC5B7" wp14:editId="05AEA5FB">
            <wp:extent cx="5416458" cy="2032907"/>
            <wp:effectExtent l="0" t="0" r="0" b="0"/>
            <wp:docPr id="3" name="Immagine 3" descr="Immagine che contiene diagramma, line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diagramma, linea, Diagramma, schermata&#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2040" cy="2068781"/>
                    </a:xfrm>
                    <a:prstGeom prst="rect">
                      <a:avLst/>
                    </a:prstGeom>
                  </pic:spPr>
                </pic:pic>
              </a:graphicData>
            </a:graphic>
          </wp:inline>
        </w:drawing>
      </w:r>
    </w:p>
    <w:p w14:paraId="3AD8A49A" w14:textId="77777777" w:rsidR="004C0F88" w:rsidRDefault="004C0F88" w:rsidP="004C0F88">
      <w:pPr>
        <w:keepNext/>
        <w:tabs>
          <w:tab w:val="left" w:pos="619"/>
        </w:tabs>
        <w:spacing w:before="125"/>
        <w:rPr>
          <w:iCs/>
        </w:rPr>
      </w:pPr>
    </w:p>
    <w:p w14:paraId="242F77E5" w14:textId="77777777" w:rsidR="004C0F88" w:rsidRDefault="004C0F88" w:rsidP="004C0F88">
      <w:pPr>
        <w:keepNext/>
        <w:tabs>
          <w:tab w:val="left" w:pos="619"/>
        </w:tabs>
        <w:spacing w:before="125"/>
        <w:rPr>
          <w:iCs/>
        </w:rPr>
      </w:pPr>
    </w:p>
    <w:p w14:paraId="4C175EC3" w14:textId="77777777" w:rsidR="004C0F88" w:rsidRPr="004C0F88" w:rsidRDefault="004C0F88" w:rsidP="004C0F88">
      <w:pPr>
        <w:keepNext/>
        <w:tabs>
          <w:tab w:val="left" w:pos="619"/>
        </w:tabs>
        <w:spacing w:before="125"/>
        <w:rPr>
          <w:iCs/>
          <w:lang w:val="en-US"/>
        </w:rPr>
      </w:pPr>
      <w:r>
        <w:rPr>
          <w:noProof/>
        </w:rPr>
        <mc:AlternateContent>
          <mc:Choice Requires="wps">
            <w:drawing>
              <wp:anchor distT="0" distB="0" distL="114300" distR="114300" simplePos="0" relativeHeight="251662336" behindDoc="0" locked="0" layoutInCell="1" allowOverlap="1" wp14:anchorId="14D34E43" wp14:editId="096E0A61">
                <wp:simplePos x="0" y="0"/>
                <wp:positionH relativeFrom="column">
                  <wp:posOffset>1009650</wp:posOffset>
                </wp:positionH>
                <wp:positionV relativeFrom="paragraph">
                  <wp:posOffset>3173207</wp:posOffset>
                </wp:positionV>
                <wp:extent cx="4130675" cy="163195"/>
                <wp:effectExtent l="0" t="0" r="0" b="1905"/>
                <wp:wrapTopAndBottom/>
                <wp:docPr id="1" name="Casella di testo 1"/>
                <wp:cNvGraphicFramePr/>
                <a:graphic xmlns:a="http://schemas.openxmlformats.org/drawingml/2006/main">
                  <a:graphicData uri="http://schemas.microsoft.com/office/word/2010/wordprocessingShape">
                    <wps:wsp>
                      <wps:cNvSpPr txBox="1"/>
                      <wps:spPr>
                        <a:xfrm>
                          <a:off x="0" y="0"/>
                          <a:ext cx="4130675" cy="163195"/>
                        </a:xfrm>
                        <a:prstGeom prst="rect">
                          <a:avLst/>
                        </a:prstGeom>
                        <a:solidFill>
                          <a:prstClr val="white"/>
                        </a:solidFill>
                        <a:ln>
                          <a:noFill/>
                        </a:ln>
                      </wps:spPr>
                      <wps:txbx>
                        <w:txbxContent>
                          <w:p w14:paraId="23F425C2" w14:textId="77777777" w:rsidR="004C0F88" w:rsidRPr="007A1DCF" w:rsidRDefault="004C0F88" w:rsidP="004C0F88">
                            <w:pPr>
                              <w:pStyle w:val="Caption"/>
                              <w:jc w:val="center"/>
                              <w:rPr>
                                <w:rFonts w:ascii="Book Antiqua" w:eastAsia="Book Antiqua" w:hAnsi="Book Antiqua" w:cs="Book Antiqua"/>
                                <w:i w:val="0"/>
                                <w:iCs w:val="0"/>
                                <w:noProof/>
                                <w:color w:val="000000" w:themeColor="text1"/>
                                <w:sz w:val="16"/>
                                <w:szCs w:val="16"/>
                              </w:rPr>
                            </w:pPr>
                            <w:r w:rsidRPr="007A1DCF">
                              <w:rPr>
                                <w:i w:val="0"/>
                                <w:iCs w:val="0"/>
                                <w:color w:val="000000" w:themeColor="text1"/>
                                <w:sz w:val="16"/>
                                <w:szCs w:val="16"/>
                              </w:rPr>
                              <w:t xml:space="preserve">Fig. </w:t>
                            </w:r>
                            <w:r w:rsidRPr="007A1DCF">
                              <w:rPr>
                                <w:i w:val="0"/>
                                <w:iCs w:val="0"/>
                                <w:color w:val="000000" w:themeColor="text1"/>
                                <w:sz w:val="16"/>
                                <w:szCs w:val="16"/>
                              </w:rPr>
                              <w:fldChar w:fldCharType="begin"/>
                            </w:r>
                            <w:r w:rsidRPr="007A1DCF">
                              <w:rPr>
                                <w:i w:val="0"/>
                                <w:iCs w:val="0"/>
                                <w:color w:val="000000" w:themeColor="text1"/>
                                <w:sz w:val="16"/>
                                <w:szCs w:val="16"/>
                              </w:rPr>
                              <w:instrText xml:space="preserve"> SEQ Fig. \* ARABIC </w:instrText>
                            </w:r>
                            <w:r w:rsidRPr="007A1DCF">
                              <w:rPr>
                                <w:i w:val="0"/>
                                <w:iCs w:val="0"/>
                                <w:color w:val="000000" w:themeColor="text1"/>
                                <w:sz w:val="16"/>
                                <w:szCs w:val="16"/>
                              </w:rPr>
                              <w:fldChar w:fldCharType="separate"/>
                            </w:r>
                            <w:r w:rsidRPr="007A1DCF">
                              <w:rPr>
                                <w:i w:val="0"/>
                                <w:iCs w:val="0"/>
                                <w:noProof/>
                                <w:color w:val="000000" w:themeColor="text1"/>
                                <w:sz w:val="16"/>
                                <w:szCs w:val="16"/>
                              </w:rPr>
                              <w:t>2</w:t>
                            </w:r>
                            <w:r w:rsidRPr="007A1DCF">
                              <w:rPr>
                                <w:i w:val="0"/>
                                <w:iCs w:val="0"/>
                                <w:color w:val="000000" w:themeColor="text1"/>
                                <w:sz w:val="16"/>
                                <w:szCs w:val="16"/>
                              </w:rPr>
                              <w:fldChar w:fldCharType="end"/>
                            </w:r>
                            <w:r w:rsidRPr="007A1DCF">
                              <w:rPr>
                                <w:i w:val="0"/>
                                <w:iCs w:val="0"/>
                                <w:color w:val="000000" w:themeColor="text1"/>
                                <w:sz w:val="16"/>
                                <w:szCs w:val="16"/>
                              </w:rPr>
                              <w:t xml:space="preserve">. Cavity modes at different powers on the </w:t>
                            </w:r>
                            <w:proofErr w:type="spellStart"/>
                            <w:r w:rsidRPr="007A1DCF">
                              <w:rPr>
                                <w:i w:val="0"/>
                                <w:iCs w:val="0"/>
                                <w:color w:val="000000" w:themeColor="text1"/>
                                <w:sz w:val="16"/>
                                <w:szCs w:val="16"/>
                              </w:rPr>
                              <w:t>GaP</w:t>
                            </w:r>
                            <w:proofErr w:type="spellEnd"/>
                            <w:r w:rsidRPr="007A1DCF">
                              <w:rPr>
                                <w:i w:val="0"/>
                                <w:iCs w:val="0"/>
                                <w:color w:val="000000" w:themeColor="text1"/>
                                <w:sz w:val="16"/>
                                <w:szCs w:val="16"/>
                              </w:rPr>
                              <w:t>: (a) 3W, (b) 109W, and (c) 345 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4E43" id="Casella di testo 1" o:spid="_x0000_s1031" type="#_x0000_t202" style="position:absolute;left:0;text-align:left;margin-left:79.5pt;margin-top:249.85pt;width:325.25pt;height:1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" stroked="f">
                <v:textbox inset="0,0,0,0">
                  <w:txbxContent>
                    <w:p w14:paraId="23F425C2" w14:textId="77777777" w:rsidR="004C0F88" w:rsidRPr="007A1DCF" w:rsidRDefault="004C0F88" w:rsidP="004C0F88">
                      <w:pPr>
                        <w:pStyle w:val="Caption"/>
                        <w:jc w:val="center"/>
                        <w:rPr>
                          <w:rFonts w:ascii="Book Antiqua" w:eastAsia="Book Antiqua" w:hAnsi="Book Antiqua" w:cs="Book Antiqua"/>
                          <w:i w:val="0"/>
                          <w:iCs w:val="0"/>
                          <w:noProof/>
                          <w:color w:val="000000" w:themeColor="text1"/>
                          <w:sz w:val="16"/>
                          <w:szCs w:val="16"/>
                        </w:rPr>
                      </w:pPr>
                      <w:r w:rsidRPr="007A1DCF">
                        <w:rPr>
                          <w:i w:val="0"/>
                          <w:iCs w:val="0"/>
                          <w:color w:val="000000" w:themeColor="text1"/>
                          <w:sz w:val="16"/>
                          <w:szCs w:val="16"/>
                        </w:rPr>
                        <w:t xml:space="preserve">Fig. </w:t>
                      </w:r>
                      <w:r w:rsidRPr="007A1DCF">
                        <w:rPr>
                          <w:i w:val="0"/>
                          <w:iCs w:val="0"/>
                          <w:color w:val="000000" w:themeColor="text1"/>
                          <w:sz w:val="16"/>
                          <w:szCs w:val="16"/>
                        </w:rPr>
                        <w:fldChar w:fldCharType="begin"/>
                      </w:r>
                      <w:r w:rsidRPr="007A1DCF">
                        <w:rPr>
                          <w:i w:val="0"/>
                          <w:iCs w:val="0"/>
                          <w:color w:val="000000" w:themeColor="text1"/>
                          <w:sz w:val="16"/>
                          <w:szCs w:val="16"/>
                        </w:rPr>
                        <w:instrText xml:space="preserve"> SEQ Fig. \* ARABIC </w:instrText>
                      </w:r>
                      <w:r w:rsidRPr="007A1DCF">
                        <w:rPr>
                          <w:i w:val="0"/>
                          <w:iCs w:val="0"/>
                          <w:color w:val="000000" w:themeColor="text1"/>
                          <w:sz w:val="16"/>
                          <w:szCs w:val="16"/>
                        </w:rPr>
                        <w:fldChar w:fldCharType="separate"/>
                      </w:r>
                      <w:r w:rsidRPr="007A1DCF">
                        <w:rPr>
                          <w:i w:val="0"/>
                          <w:iCs w:val="0"/>
                          <w:noProof/>
                          <w:color w:val="000000" w:themeColor="text1"/>
                          <w:sz w:val="16"/>
                          <w:szCs w:val="16"/>
                        </w:rPr>
                        <w:t>2</w:t>
                      </w:r>
                      <w:r w:rsidRPr="007A1DCF">
                        <w:rPr>
                          <w:i w:val="0"/>
                          <w:iCs w:val="0"/>
                          <w:color w:val="000000" w:themeColor="text1"/>
                          <w:sz w:val="16"/>
                          <w:szCs w:val="16"/>
                        </w:rPr>
                        <w:fldChar w:fldCharType="end"/>
                      </w:r>
                      <w:r w:rsidRPr="007A1DCF">
                        <w:rPr>
                          <w:i w:val="0"/>
                          <w:iCs w:val="0"/>
                          <w:color w:val="000000" w:themeColor="text1"/>
                          <w:sz w:val="16"/>
                          <w:szCs w:val="16"/>
                        </w:rPr>
                        <w:t xml:space="preserve">. Cavity modes at different powers on the </w:t>
                      </w:r>
                      <w:proofErr w:type="spellStart"/>
                      <w:r w:rsidRPr="007A1DCF">
                        <w:rPr>
                          <w:i w:val="0"/>
                          <w:iCs w:val="0"/>
                          <w:color w:val="000000" w:themeColor="text1"/>
                          <w:sz w:val="16"/>
                          <w:szCs w:val="16"/>
                        </w:rPr>
                        <w:t>GaP</w:t>
                      </w:r>
                      <w:proofErr w:type="spellEnd"/>
                      <w:r w:rsidRPr="007A1DCF">
                        <w:rPr>
                          <w:i w:val="0"/>
                          <w:iCs w:val="0"/>
                          <w:color w:val="000000" w:themeColor="text1"/>
                          <w:sz w:val="16"/>
                          <w:szCs w:val="16"/>
                        </w:rPr>
                        <w:t>: (a) 3W, (b) 109W, and (c) 345 W.</w:t>
                      </w:r>
                    </w:p>
                  </w:txbxContent>
                </v:textbox>
                <w10:wrap type="topAndBottom"/>
              </v:shape>
            </w:pict>
          </mc:Fallback>
        </mc:AlternateContent>
      </w:r>
      <w:r>
        <w:rPr>
          <w:noProof/>
        </w:rPr>
        <w:drawing>
          <wp:anchor distT="0" distB="0" distL="114300" distR="114300" simplePos="0" relativeHeight="251661312" behindDoc="0" locked="0" layoutInCell="1" allowOverlap="1" wp14:anchorId="5D90DAE4" wp14:editId="192A4AC0">
            <wp:simplePos x="0" y="0"/>
            <wp:positionH relativeFrom="column">
              <wp:posOffset>1274445</wp:posOffset>
            </wp:positionH>
            <wp:positionV relativeFrom="paragraph">
              <wp:posOffset>2128408</wp:posOffset>
            </wp:positionV>
            <wp:extent cx="3698875" cy="1064895"/>
            <wp:effectExtent l="0" t="0" r="0" b="1905"/>
            <wp:wrapTopAndBottom/>
            <wp:docPr id="8" name="Immagine 8" descr="Immagine che contiene Policromia, schermata,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Policromia, schermata, cerchi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8875" cy="1064895"/>
                    </a:xfrm>
                    <a:prstGeom prst="rect">
                      <a:avLst/>
                    </a:prstGeom>
                  </pic:spPr>
                </pic:pic>
              </a:graphicData>
            </a:graphic>
            <wp14:sizeRelH relativeFrom="page">
              <wp14:pctWidth>0</wp14:pctWidth>
            </wp14:sizeRelH>
            <wp14:sizeRelV relativeFrom="page">
              <wp14:pctHeight>0</wp14:pctHeight>
            </wp14:sizeRelV>
          </wp:anchor>
        </w:drawing>
      </w:r>
      <w:r w:rsidRPr="004C0F88">
        <w:rPr>
          <w:iCs/>
          <w:lang w:val="en-US"/>
        </w:rPr>
        <w:t>In Figure 1b we show the generated THz power in single pass configuration (</w:t>
      </w:r>
      <w:proofErr w:type="spellStart"/>
      <w:r w:rsidRPr="004C0F88">
        <w:rPr>
          <w:iCs/>
          <w:lang w:val="en-US"/>
        </w:rPr>
        <w:t>GaP</w:t>
      </w:r>
      <w:proofErr w:type="spellEnd"/>
      <w:r w:rsidRPr="004C0F88">
        <w:rPr>
          <w:iCs/>
          <w:lang w:val="en-US"/>
        </w:rPr>
        <w:t xml:space="preserve"> outside the cavity) and using the enhancement cavity. The cavity power gain is also shown. For a given laser power, the enhancement cavity boosts the power on the </w:t>
      </w:r>
      <w:proofErr w:type="spellStart"/>
      <w:r w:rsidRPr="004C0F88">
        <w:rPr>
          <w:iCs/>
          <w:lang w:val="en-US"/>
        </w:rPr>
        <w:t>GaP</w:t>
      </w:r>
      <w:proofErr w:type="spellEnd"/>
      <w:r w:rsidRPr="004C0F88">
        <w:rPr>
          <w:iCs/>
          <w:lang w:val="en-US"/>
        </w:rPr>
        <w:t xml:space="preserve"> and the generated THz. On the other hand, for an increasing incident power, the cavity gain decreases. This is a symptom of a laser-cavity decoupling, mainly due to modal degeneration and thermal lensing caused by local changes in the refractive index in the </w:t>
      </w:r>
      <w:proofErr w:type="spellStart"/>
      <w:r w:rsidRPr="004C0F88">
        <w:rPr>
          <w:iCs/>
          <w:lang w:val="en-US"/>
        </w:rPr>
        <w:t>GaP</w:t>
      </w:r>
      <w:proofErr w:type="spellEnd"/>
      <w:r w:rsidRPr="004C0F88">
        <w:rPr>
          <w:iCs/>
          <w:lang w:val="en-US"/>
        </w:rPr>
        <w:t xml:space="preserve">. Then, the enhancement cavity fundamental mode overlaps with higher-order modes, and losses rise. The mode change with power is shown in the </w:t>
      </w:r>
      <w:proofErr w:type="gramStart"/>
      <w:r w:rsidRPr="004C0F88">
        <w:rPr>
          <w:iCs/>
          <w:lang w:val="en-US"/>
        </w:rPr>
        <w:t>insets</w:t>
      </w:r>
      <w:proofErr w:type="gramEnd"/>
      <w:r w:rsidRPr="004C0F88">
        <w:rPr>
          <w:iCs/>
          <w:lang w:val="en-US"/>
        </w:rPr>
        <w:t xml:space="preserve"> of Fig. 1b. In Fig. 2 a comparison between the cavity modes at intracavity power of 3 W, 109 W, and 345 W is presented. For power higher than 100 W (Figs. 2b and 2c), the fundamental mode is clearly superimposed with larger modes. Analyzing the mode images acquired with the CCD camera it is possible to extract quantitative information on the </w:t>
      </w:r>
      <w:proofErr w:type="spellStart"/>
      <w:r w:rsidRPr="004C0F88">
        <w:rPr>
          <w:iCs/>
          <w:lang w:val="en-US"/>
        </w:rPr>
        <w:t>GaP</w:t>
      </w:r>
      <w:proofErr w:type="spellEnd"/>
      <w:r w:rsidRPr="004C0F88">
        <w:rPr>
          <w:iCs/>
          <w:lang w:val="en-US"/>
        </w:rPr>
        <w:t xml:space="preserve"> behavior at different powers and temperatures. The results of such analysis will be presented at the MICS 2023 Conference in Vienna, together with THz generation data at maximum power and a comparison among different </w:t>
      </w:r>
      <w:proofErr w:type="spellStart"/>
      <w:r w:rsidRPr="004C0F88">
        <w:rPr>
          <w:iCs/>
          <w:lang w:val="en-US"/>
        </w:rPr>
        <w:t>GaP</w:t>
      </w:r>
      <w:proofErr w:type="spellEnd"/>
      <w:r w:rsidRPr="004C0F88">
        <w:rPr>
          <w:iCs/>
          <w:lang w:val="en-US"/>
        </w:rPr>
        <w:t xml:space="preserve"> thicknesses. To mitigate the mode instabilities of </w:t>
      </w:r>
      <w:proofErr w:type="spellStart"/>
      <w:r w:rsidRPr="004C0F88">
        <w:rPr>
          <w:iCs/>
          <w:lang w:val="en-US"/>
        </w:rPr>
        <w:t>GaP</w:t>
      </w:r>
      <w:proofErr w:type="spellEnd"/>
      <w:r w:rsidRPr="004C0F88">
        <w:rPr>
          <w:iCs/>
          <w:lang w:val="en-US"/>
        </w:rPr>
        <w:t xml:space="preserve">, we propose to introduce a telescope with variable convergence inside the cavity, that might compensate for the thermal lensing effects of the </w:t>
      </w:r>
      <w:proofErr w:type="spellStart"/>
      <w:r w:rsidRPr="004C0F88">
        <w:rPr>
          <w:iCs/>
          <w:lang w:val="en-US"/>
        </w:rPr>
        <w:t>GaP</w:t>
      </w:r>
      <w:proofErr w:type="spellEnd"/>
      <w:r w:rsidRPr="004C0F88">
        <w:rPr>
          <w:iCs/>
          <w:lang w:val="en-US"/>
        </w:rPr>
        <w:t xml:space="preserve">. </w:t>
      </w:r>
      <w:proofErr w:type="gramStart"/>
      <w:r w:rsidRPr="004C0F88">
        <w:rPr>
          <w:iCs/>
          <w:lang w:val="en-US"/>
        </w:rPr>
        <w:t>At the moment</w:t>
      </w:r>
      <w:proofErr w:type="gramEnd"/>
      <w:r w:rsidRPr="004C0F88">
        <w:rPr>
          <w:iCs/>
          <w:lang w:val="en-US"/>
        </w:rPr>
        <w:t>, only preliminary tests with the intracavity telescope have been done.</w:t>
      </w:r>
    </w:p>
    <w:p w14:paraId="379B3F20" w14:textId="77777777" w:rsidR="004C0F88" w:rsidRDefault="004C0F88" w:rsidP="004C0F88">
      <w:pPr>
        <w:pStyle w:val="MCSectionHead"/>
        <w:spacing w:before="0"/>
        <w:jc w:val="left"/>
      </w:pPr>
      <w:r w:rsidRPr="00693678">
        <w:t>3</w:t>
      </w:r>
      <w:r w:rsidRPr="00A674FD">
        <w:rPr>
          <w:b w:val="0"/>
        </w:rPr>
        <w:t>.</w:t>
      </w:r>
      <w:r>
        <w:t xml:space="preserve"> Conclusions</w:t>
      </w:r>
    </w:p>
    <w:p w14:paraId="59D171C2" w14:textId="77777777" w:rsidR="004C0F88" w:rsidRPr="002642FD" w:rsidRDefault="004C0F88" w:rsidP="004C0F88">
      <w:pPr>
        <w:pStyle w:val="MCSectionHead"/>
        <w:spacing w:before="0"/>
      </w:pPr>
      <w:r w:rsidRPr="002A0BFB">
        <w:rPr>
          <w:b w:val="0"/>
        </w:rPr>
        <w:t xml:space="preserve">We proposed a simple experimental setup for the generation of THz pulses with </w:t>
      </w:r>
      <w:r>
        <w:rPr>
          <w:b w:val="0"/>
        </w:rPr>
        <w:t xml:space="preserve">a </w:t>
      </w:r>
      <w:r w:rsidRPr="002A0BFB">
        <w:rPr>
          <w:b w:val="0"/>
        </w:rPr>
        <w:t>high repetition rate via optical rectification of a Yb mode-locked laser in</w:t>
      </w:r>
      <w:r>
        <w:rPr>
          <w:b w:val="0"/>
        </w:rPr>
        <w:t xml:space="preserve"> a </w:t>
      </w:r>
      <w:proofErr w:type="spellStart"/>
      <w:r>
        <w:rPr>
          <w:b w:val="0"/>
        </w:rPr>
        <w:t>GaP</w:t>
      </w:r>
      <w:proofErr w:type="spellEnd"/>
      <w:r>
        <w:rPr>
          <w:b w:val="0"/>
        </w:rPr>
        <w:t xml:space="preserve"> crystal inside</w:t>
      </w:r>
      <w:r w:rsidRPr="002A0BFB">
        <w:rPr>
          <w:b w:val="0"/>
        </w:rPr>
        <w:t xml:space="preserve"> an enhancement cavity.</w:t>
      </w:r>
      <w:r>
        <w:rPr>
          <w:b w:val="0"/>
        </w:rPr>
        <w:t xml:space="preserve"> We showed that the use of an enhancement resonator can boost the generation efficiency although some drawbacks coming from the high average power arise. We investigated the behavior of the </w:t>
      </w:r>
      <w:proofErr w:type="spellStart"/>
      <w:r>
        <w:rPr>
          <w:b w:val="0"/>
        </w:rPr>
        <w:t>GaP</w:t>
      </w:r>
      <w:proofErr w:type="spellEnd"/>
      <w:r>
        <w:rPr>
          <w:b w:val="0"/>
        </w:rPr>
        <w:t xml:space="preserve"> crystal</w:t>
      </w:r>
      <w:r w:rsidRPr="002A0BFB">
        <w:rPr>
          <w:b w:val="0"/>
        </w:rPr>
        <w:t xml:space="preserve"> </w:t>
      </w:r>
      <w:r>
        <w:rPr>
          <w:b w:val="0"/>
        </w:rPr>
        <w:t>at high power, to suggest mitigation strategies and further increase the efficiency of THz generation of the setup.</w:t>
      </w:r>
    </w:p>
    <w:p w14:paraId="53061616" w14:textId="77777777" w:rsidR="004C0F88" w:rsidRDefault="004C0F88" w:rsidP="004C0F88">
      <w:pPr>
        <w:pStyle w:val="MCSectionHead"/>
        <w:jc w:val="left"/>
      </w:pPr>
      <w:r>
        <w:t>4.  References</w:t>
      </w:r>
    </w:p>
    <w:p w14:paraId="2B8A3870" w14:textId="77777777" w:rsidR="004C0F88" w:rsidRPr="008D6224" w:rsidRDefault="004C0F88" w:rsidP="004C0F88">
      <w:pPr>
        <w:pStyle w:val="MCReference"/>
        <w:spacing w:line="192" w:lineRule="auto"/>
        <w:jc w:val="both"/>
        <w:rPr>
          <w:szCs w:val="16"/>
        </w:rPr>
      </w:pPr>
      <w:r w:rsidRPr="008D6224">
        <w:rPr>
          <w:szCs w:val="16"/>
        </w:rPr>
        <w:t xml:space="preserve">[1] A. </w:t>
      </w:r>
      <w:proofErr w:type="spellStart"/>
      <w:r w:rsidRPr="008D6224">
        <w:rPr>
          <w:szCs w:val="16"/>
        </w:rPr>
        <w:t>Leitenstorfer</w:t>
      </w:r>
      <w:proofErr w:type="spellEnd"/>
      <w:r w:rsidRPr="008D6224">
        <w:rPr>
          <w:szCs w:val="16"/>
        </w:rPr>
        <w:t xml:space="preserve"> et al., “The 2023 terahertz science and technology roadmap,” J. Phys. D: Appl. Phys. </w:t>
      </w:r>
      <w:r w:rsidRPr="008D6224">
        <w:rPr>
          <w:b/>
          <w:szCs w:val="16"/>
        </w:rPr>
        <w:t>56,</w:t>
      </w:r>
      <w:r w:rsidRPr="008D6224">
        <w:rPr>
          <w:szCs w:val="16"/>
        </w:rPr>
        <w:t xml:space="preserve"> 22, </w:t>
      </w:r>
      <w:r w:rsidRPr="008D6224">
        <w:rPr>
          <w:rFonts w:ascii="Calibri" w:hAnsi="Calibri" w:cs="Calibri"/>
          <w:szCs w:val="16"/>
        </w:rPr>
        <w:t>﻿</w:t>
      </w:r>
      <w:r w:rsidRPr="008D6224">
        <w:rPr>
          <w:szCs w:val="16"/>
        </w:rPr>
        <w:t>223001 (2023).</w:t>
      </w:r>
    </w:p>
    <w:p w14:paraId="70A3F07C" w14:textId="77777777" w:rsidR="004C0F88" w:rsidRPr="008D6224" w:rsidRDefault="004C0F88" w:rsidP="004C0F88">
      <w:pPr>
        <w:pStyle w:val="MCReference"/>
        <w:spacing w:line="192" w:lineRule="auto"/>
        <w:jc w:val="both"/>
        <w:rPr>
          <w:szCs w:val="16"/>
        </w:rPr>
      </w:pPr>
      <w:r w:rsidRPr="008D6224">
        <w:rPr>
          <w:szCs w:val="16"/>
        </w:rPr>
        <w:t xml:space="preserve">[2] </w:t>
      </w:r>
      <w:r w:rsidRPr="008D6224">
        <w:rPr>
          <w:rFonts w:ascii="Calibri" w:hAnsi="Calibri" w:cs="Calibri"/>
          <w:szCs w:val="16"/>
        </w:rPr>
        <w:t>﻿</w:t>
      </w:r>
      <w:r w:rsidRPr="008D6224">
        <w:rPr>
          <w:szCs w:val="16"/>
        </w:rPr>
        <w:t>P. U. Jepsen et al., “</w:t>
      </w:r>
      <w:r w:rsidRPr="008D6224">
        <w:rPr>
          <w:rFonts w:ascii="Calibri" w:hAnsi="Calibri" w:cs="Calibri"/>
          <w:szCs w:val="16"/>
        </w:rPr>
        <w:t>﻿</w:t>
      </w:r>
      <w:r w:rsidRPr="008D6224">
        <w:rPr>
          <w:szCs w:val="16"/>
        </w:rPr>
        <w:t xml:space="preserve">Terahertz spectroscopy and imaging – Modern techniques and applications,” </w:t>
      </w:r>
      <w:r w:rsidRPr="008D6224">
        <w:rPr>
          <w:rFonts w:ascii="Calibri" w:hAnsi="Calibri" w:cs="Calibri"/>
          <w:szCs w:val="16"/>
        </w:rPr>
        <w:t>﻿</w:t>
      </w:r>
      <w:r w:rsidRPr="008D6224">
        <w:rPr>
          <w:szCs w:val="16"/>
        </w:rPr>
        <w:t xml:space="preserve">Laser Photonics Rev. </w:t>
      </w:r>
      <w:r w:rsidRPr="008D6224">
        <w:rPr>
          <w:b/>
          <w:bCs/>
          <w:szCs w:val="16"/>
        </w:rPr>
        <w:t>5</w:t>
      </w:r>
      <w:r w:rsidRPr="008D6224">
        <w:rPr>
          <w:szCs w:val="16"/>
        </w:rPr>
        <w:t>, 1, 124-166 (2011).</w:t>
      </w:r>
    </w:p>
    <w:p w14:paraId="5C4DB00B" w14:textId="77777777" w:rsidR="004C0F88" w:rsidRPr="008D6224" w:rsidRDefault="004C0F88" w:rsidP="004C0F88">
      <w:pPr>
        <w:pStyle w:val="MCReference"/>
        <w:spacing w:line="192" w:lineRule="auto"/>
        <w:jc w:val="both"/>
        <w:rPr>
          <w:szCs w:val="16"/>
        </w:rPr>
      </w:pPr>
      <w:r w:rsidRPr="008D6224">
        <w:rPr>
          <w:szCs w:val="16"/>
        </w:rPr>
        <w:t>[3] J. Drs at al., “</w:t>
      </w:r>
      <w:r w:rsidRPr="008D6224">
        <w:rPr>
          <w:rFonts w:ascii="Calibri" w:hAnsi="Calibri" w:cs="Calibri"/>
          <w:szCs w:val="16"/>
        </w:rPr>
        <w:t>﻿﻿</w:t>
      </w:r>
      <w:r w:rsidRPr="008D6224">
        <w:rPr>
          <w:szCs w:val="16"/>
        </w:rPr>
        <w:t xml:space="preserve">Optical rectification of ultrafast Yb lasers: pushing power and bandwidth of terahertz generation in </w:t>
      </w:r>
      <w:proofErr w:type="spellStart"/>
      <w:r w:rsidRPr="008D6224">
        <w:rPr>
          <w:szCs w:val="16"/>
        </w:rPr>
        <w:t>GaP</w:t>
      </w:r>
      <w:proofErr w:type="spellEnd"/>
      <w:r w:rsidRPr="008D6224">
        <w:rPr>
          <w:rFonts w:ascii="Calibri" w:hAnsi="Calibri" w:cs="Calibri"/>
          <w:szCs w:val="16"/>
        </w:rPr>
        <w:t>﻿</w:t>
      </w:r>
      <w:r w:rsidRPr="008D6224">
        <w:rPr>
          <w:szCs w:val="16"/>
        </w:rPr>
        <w:t xml:space="preserve">,” JOSA B 36, 11, </w:t>
      </w:r>
      <w:r w:rsidRPr="008D6224">
        <w:rPr>
          <w:rFonts w:ascii="Calibri" w:hAnsi="Calibri" w:cs="Calibri"/>
          <w:szCs w:val="16"/>
        </w:rPr>
        <w:t>﻿</w:t>
      </w:r>
      <w:r w:rsidRPr="008D6224">
        <w:rPr>
          <w:szCs w:val="16"/>
        </w:rPr>
        <w:t>3039 (2019).</w:t>
      </w:r>
    </w:p>
    <w:p w14:paraId="2B677E86" w14:textId="77777777" w:rsidR="004C0F88" w:rsidRPr="008D6224" w:rsidRDefault="004C0F88" w:rsidP="004C0F88">
      <w:pPr>
        <w:pStyle w:val="MCReference"/>
        <w:spacing w:line="192" w:lineRule="auto"/>
        <w:jc w:val="both"/>
        <w:rPr>
          <w:szCs w:val="16"/>
        </w:rPr>
      </w:pPr>
      <w:r w:rsidRPr="008D6224">
        <w:rPr>
          <w:szCs w:val="16"/>
        </w:rPr>
        <w:t xml:space="preserve">[4] </w:t>
      </w:r>
      <w:proofErr w:type="spellStart"/>
      <w:r w:rsidRPr="008D6224">
        <w:rPr>
          <w:szCs w:val="16"/>
        </w:rPr>
        <w:t>Suerra</w:t>
      </w:r>
      <w:proofErr w:type="spellEnd"/>
      <w:r w:rsidRPr="008D6224">
        <w:rPr>
          <w:szCs w:val="16"/>
        </w:rPr>
        <w:t xml:space="preserve"> et al. "Generation of high repetition rate THz radiation at the </w:t>
      </w:r>
      <w:proofErr w:type="spellStart"/>
      <w:r w:rsidRPr="008D6224">
        <w:rPr>
          <w:szCs w:val="16"/>
        </w:rPr>
        <w:t>millwatt</w:t>
      </w:r>
      <w:proofErr w:type="spellEnd"/>
      <w:r w:rsidRPr="008D6224">
        <w:rPr>
          <w:szCs w:val="16"/>
        </w:rPr>
        <w:t>-level via optical rectification in an enhancement cavity," EPJ Web of Conferences, 08021 (2023).</w:t>
      </w:r>
    </w:p>
    <w:p w14:paraId="3C6D9D11" w14:textId="77777777" w:rsidR="004C0F88" w:rsidRPr="008D6224" w:rsidRDefault="004C0F88" w:rsidP="004C0F88">
      <w:pPr>
        <w:pStyle w:val="MCReference"/>
        <w:spacing w:line="192" w:lineRule="auto"/>
        <w:jc w:val="both"/>
        <w:rPr>
          <w:szCs w:val="16"/>
        </w:rPr>
      </w:pPr>
      <w:r w:rsidRPr="008D6224">
        <w:rPr>
          <w:szCs w:val="16"/>
        </w:rPr>
        <w:t xml:space="preserve">[5] </w:t>
      </w:r>
      <w:r w:rsidRPr="008D6224">
        <w:rPr>
          <w:rFonts w:ascii="Calibri" w:hAnsi="Calibri" w:cs="Calibri"/>
          <w:szCs w:val="16"/>
        </w:rPr>
        <w:t>﻿</w:t>
      </w:r>
      <w:r w:rsidRPr="008D6224">
        <w:rPr>
          <w:szCs w:val="16"/>
        </w:rPr>
        <w:t>J. Li et al., “</w:t>
      </w:r>
      <w:r w:rsidRPr="008D6224">
        <w:rPr>
          <w:rFonts w:ascii="Calibri" w:hAnsi="Calibri" w:cs="Calibri"/>
          <w:szCs w:val="16"/>
        </w:rPr>
        <w:t>﻿</w:t>
      </w:r>
      <w:r w:rsidRPr="008D6224">
        <w:rPr>
          <w:szCs w:val="16"/>
        </w:rPr>
        <w:t xml:space="preserve">Generation of 0.3 </w:t>
      </w:r>
      <w:proofErr w:type="spellStart"/>
      <w:r w:rsidRPr="008D6224">
        <w:rPr>
          <w:szCs w:val="16"/>
        </w:rPr>
        <w:t>mW</w:t>
      </w:r>
      <w:proofErr w:type="spellEnd"/>
      <w:r w:rsidRPr="008D6224">
        <w:rPr>
          <w:szCs w:val="16"/>
        </w:rPr>
        <w:t xml:space="preserve"> high-power broadband terahertz pulses from </w:t>
      </w:r>
      <w:proofErr w:type="spellStart"/>
      <w:r w:rsidRPr="008D6224">
        <w:rPr>
          <w:szCs w:val="16"/>
        </w:rPr>
        <w:t>GaP</w:t>
      </w:r>
      <w:proofErr w:type="spellEnd"/>
      <w:r w:rsidRPr="008D6224">
        <w:rPr>
          <w:szCs w:val="16"/>
        </w:rPr>
        <w:t xml:space="preserve"> crystal pumped by negatively chirped femtosecond laser pulses,” </w:t>
      </w:r>
      <w:r w:rsidRPr="008D6224">
        <w:rPr>
          <w:rFonts w:ascii="Calibri" w:hAnsi="Calibri" w:cs="Calibri"/>
          <w:szCs w:val="16"/>
        </w:rPr>
        <w:t>﻿</w:t>
      </w:r>
      <w:r w:rsidRPr="008D6224">
        <w:rPr>
          <w:szCs w:val="16"/>
        </w:rPr>
        <w:t>Laser Phys. Lett. 10, 125404 (2013).</w:t>
      </w:r>
    </w:p>
    <w:p w14:paraId="542F6C77" w14:textId="77777777" w:rsidR="004C0F88" w:rsidRPr="008D6224" w:rsidRDefault="004C0F88" w:rsidP="004C0F88">
      <w:pPr>
        <w:pStyle w:val="MCReference"/>
        <w:spacing w:line="192" w:lineRule="auto"/>
        <w:jc w:val="both"/>
        <w:rPr>
          <w:szCs w:val="16"/>
        </w:rPr>
      </w:pPr>
      <w:r w:rsidRPr="008D6224">
        <w:rPr>
          <w:szCs w:val="16"/>
        </w:rPr>
        <w:lastRenderedPageBreak/>
        <w:t>[6] N. Hekmat et al., “</w:t>
      </w:r>
      <w:r w:rsidRPr="008D6224">
        <w:rPr>
          <w:rFonts w:ascii="Calibri" w:hAnsi="Calibri" w:cs="Calibri"/>
          <w:szCs w:val="16"/>
        </w:rPr>
        <w:t>﻿</w:t>
      </w:r>
      <w:r w:rsidRPr="008D6224">
        <w:rPr>
          <w:szCs w:val="16"/>
        </w:rPr>
        <w:t xml:space="preserve">Cryogenically cooled </w:t>
      </w:r>
      <w:proofErr w:type="spellStart"/>
      <w:r w:rsidRPr="008D6224">
        <w:rPr>
          <w:szCs w:val="16"/>
        </w:rPr>
        <w:t>GaP</w:t>
      </w:r>
      <w:proofErr w:type="spellEnd"/>
      <w:r w:rsidRPr="008D6224">
        <w:rPr>
          <w:szCs w:val="16"/>
        </w:rPr>
        <w:t xml:space="preserve"> for optical rectification at high excitation average power,” Opt. Mater. Express </w:t>
      </w:r>
      <w:r w:rsidRPr="008D6224">
        <w:rPr>
          <w:b/>
          <w:szCs w:val="16"/>
        </w:rPr>
        <w:t>10,</w:t>
      </w:r>
      <w:r w:rsidRPr="008D6224">
        <w:rPr>
          <w:szCs w:val="16"/>
        </w:rPr>
        <w:t xml:space="preserve"> 11, 2768 (2020).</w:t>
      </w:r>
    </w:p>
    <w:p w14:paraId="3A610286" w14:textId="77777777" w:rsidR="004C0F88" w:rsidRPr="008D6224" w:rsidRDefault="004C0F88" w:rsidP="004C0F88">
      <w:pPr>
        <w:pStyle w:val="MCReference"/>
        <w:spacing w:line="192" w:lineRule="auto"/>
        <w:jc w:val="both"/>
        <w:rPr>
          <w:szCs w:val="16"/>
        </w:rPr>
      </w:pPr>
      <w:r w:rsidRPr="008D6224">
        <w:rPr>
          <w:szCs w:val="16"/>
        </w:rPr>
        <w:t xml:space="preserve">[7] E. </w:t>
      </w:r>
      <w:proofErr w:type="spellStart"/>
      <w:r w:rsidRPr="008D6224">
        <w:rPr>
          <w:szCs w:val="16"/>
        </w:rPr>
        <w:t>Suerra</w:t>
      </w:r>
      <w:proofErr w:type="spellEnd"/>
      <w:r w:rsidRPr="008D6224">
        <w:rPr>
          <w:szCs w:val="16"/>
        </w:rPr>
        <w:t xml:space="preserve"> et al., “A new method for spatial mode shifting of stabilized optical cavities for the generation of dual-color X-rays”, NIM-A </w:t>
      </w:r>
      <w:r w:rsidRPr="008D6224">
        <w:rPr>
          <w:b/>
          <w:bCs/>
          <w:szCs w:val="16"/>
        </w:rPr>
        <w:t>1019</w:t>
      </w:r>
      <w:r w:rsidRPr="008D6224">
        <w:rPr>
          <w:szCs w:val="16"/>
        </w:rPr>
        <w:t>, 165852 (2021).</w:t>
      </w:r>
    </w:p>
    <w:p w14:paraId="36AA9ABC" w14:textId="77777777" w:rsidR="004C0F88" w:rsidRPr="008D6224" w:rsidRDefault="004C0F88" w:rsidP="004C0F88">
      <w:pPr>
        <w:pStyle w:val="MCBody"/>
        <w:spacing w:before="0" w:line="192" w:lineRule="auto"/>
        <w:rPr>
          <w:sz w:val="16"/>
          <w:szCs w:val="16"/>
        </w:rPr>
      </w:pPr>
      <w:r w:rsidRPr="008D6224">
        <w:rPr>
          <w:sz w:val="16"/>
          <w:szCs w:val="16"/>
        </w:rPr>
        <w:t>[8] F. Canella et al., "</w:t>
      </w:r>
      <w:r w:rsidRPr="008D6224">
        <w:rPr>
          <w:rFonts w:ascii="Calibri" w:hAnsi="Calibri" w:cs="Calibri"/>
          <w:sz w:val="16"/>
          <w:szCs w:val="16"/>
        </w:rPr>
        <w:t>﻿</w:t>
      </w:r>
      <w:r w:rsidRPr="008D6224">
        <w:rPr>
          <w:sz w:val="16"/>
          <w:szCs w:val="16"/>
        </w:rPr>
        <w:t xml:space="preserve">Low frequency-to-intensity noise conversion in a pulsed laser cavity locking by exploiting carrier envelope offset," Appl. Phys. B, </w:t>
      </w:r>
      <w:r w:rsidRPr="008D6224">
        <w:rPr>
          <w:b/>
          <w:bCs/>
          <w:sz w:val="16"/>
          <w:szCs w:val="16"/>
        </w:rPr>
        <w:t>128</w:t>
      </w:r>
      <w:r w:rsidRPr="008D6224">
        <w:rPr>
          <w:sz w:val="16"/>
          <w:szCs w:val="16"/>
        </w:rPr>
        <w:t>, 11, 205 (2022).</w:t>
      </w:r>
    </w:p>
    <w:p w14:paraId="32E9C866" w14:textId="77777777" w:rsidR="00AC76CA" w:rsidRPr="004C0F88" w:rsidRDefault="00AC76CA" w:rsidP="004C0F88"/>
    <w:sectPr w:rsidR="00AC76CA" w:rsidRPr="004C0F88">
      <w:headerReference w:type="default" r:id="rId10"/>
      <w:pgSz w:w="12240" w:h="15840"/>
      <w:pgMar w:top="1440" w:right="1433"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072A4" w14:textId="77777777" w:rsidR="007771ED" w:rsidRDefault="007771ED" w:rsidP="00AC76CA">
      <w:pPr>
        <w:spacing w:line="240" w:lineRule="auto"/>
      </w:pPr>
      <w:r>
        <w:separator/>
      </w:r>
    </w:p>
  </w:endnote>
  <w:endnote w:type="continuationSeparator" w:id="0">
    <w:p w14:paraId="7F1B2530" w14:textId="77777777" w:rsidR="007771ED" w:rsidRDefault="007771ED" w:rsidP="00AC76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41CC6" w14:textId="77777777" w:rsidR="007771ED" w:rsidRDefault="007771ED" w:rsidP="00AC76CA">
      <w:pPr>
        <w:spacing w:line="240" w:lineRule="auto"/>
      </w:pPr>
      <w:r>
        <w:separator/>
      </w:r>
    </w:p>
  </w:footnote>
  <w:footnote w:type="continuationSeparator" w:id="0">
    <w:p w14:paraId="557524C1" w14:textId="77777777" w:rsidR="007771ED" w:rsidRDefault="007771ED" w:rsidP="00AC76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F032" w14:textId="6B0B2E7B" w:rsidR="00AC76CA" w:rsidRDefault="00AC76CA">
    <w:pPr>
      <w:pStyle w:val="Header"/>
    </w:pPr>
    <w:r>
      <w:rPr>
        <w:noProof/>
      </w:rPr>
      <w:drawing>
        <wp:anchor distT="0" distB="0" distL="114300" distR="114300" simplePos="0" relativeHeight="251659264" behindDoc="1" locked="0" layoutInCell="1" allowOverlap="1" wp14:anchorId="27030292" wp14:editId="15DE3051">
          <wp:simplePos x="0" y="0"/>
          <wp:positionH relativeFrom="column">
            <wp:posOffset>-655320</wp:posOffset>
          </wp:positionH>
          <wp:positionV relativeFrom="paragraph">
            <wp:posOffset>-304800</wp:posOffset>
          </wp:positionV>
          <wp:extent cx="548640" cy="546532"/>
          <wp:effectExtent l="0" t="0" r="3810" b="6350"/>
          <wp:wrapNone/>
          <wp:docPr id="26716549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65490" name="Picture 2"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flipH="1">
                    <a:off x="0" y="0"/>
                    <a:ext cx="548640" cy="5465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6497123" wp14:editId="78444564">
          <wp:simplePos x="0" y="0"/>
          <wp:positionH relativeFrom="column">
            <wp:posOffset>5166360</wp:posOffset>
          </wp:positionH>
          <wp:positionV relativeFrom="paragraph">
            <wp:posOffset>-297180</wp:posOffset>
          </wp:positionV>
          <wp:extent cx="1434997" cy="525780"/>
          <wp:effectExtent l="0" t="0" r="0" b="0"/>
          <wp:wrapNone/>
          <wp:docPr id="504592895" name="Picture 1" descr="A blue line with a sun and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2895" name="Picture 1" descr="A blue line with a sun and a boa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34997" cy="525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774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7D0122"/>
    <w:multiLevelType w:val="hybridMultilevel"/>
    <w:tmpl w:val="3F40E5BC"/>
    <w:lvl w:ilvl="0" w:tplc="368E3CC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742C34"/>
    <w:multiLevelType w:val="hybridMultilevel"/>
    <w:tmpl w:val="2EAC081C"/>
    <w:lvl w:ilvl="0" w:tplc="FDA2F9AE">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7C2AF4"/>
    <w:multiLevelType w:val="hybridMultilevel"/>
    <w:tmpl w:val="D61CAC1E"/>
    <w:lvl w:ilvl="0" w:tplc="2968E540">
      <w:start w:val="1"/>
      <w:numFmt w:val="decimal"/>
      <w:lvlText w:val="[%1]"/>
      <w:lvlJc w:val="left"/>
      <w:pPr>
        <w:ind w:left="720" w:hanging="360"/>
      </w:pPr>
      <w:rPr>
        <w:rFonts w:ascii="Times New Roman" w:hAnsi="Times New Roman" w:cs="Times New Roman" w:hint="default"/>
        <w:b w:val="0"/>
        <w:lang w:val="en-U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40856646">
    <w:abstractNumId w:val="2"/>
  </w:num>
  <w:num w:numId="2" w16cid:durableId="682635354">
    <w:abstractNumId w:val="4"/>
  </w:num>
  <w:num w:numId="3" w16cid:durableId="17341145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7284984">
    <w:abstractNumId w:val="3"/>
  </w:num>
  <w:num w:numId="5" w16cid:durableId="595990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E8C"/>
    <w:rsid w:val="00044382"/>
    <w:rsid w:val="00240F9B"/>
    <w:rsid w:val="00360159"/>
    <w:rsid w:val="003D71F9"/>
    <w:rsid w:val="004855C5"/>
    <w:rsid w:val="004C0F88"/>
    <w:rsid w:val="004C2BF6"/>
    <w:rsid w:val="004F7391"/>
    <w:rsid w:val="00547FF4"/>
    <w:rsid w:val="00590726"/>
    <w:rsid w:val="005E4E8C"/>
    <w:rsid w:val="006516F5"/>
    <w:rsid w:val="006A498D"/>
    <w:rsid w:val="006A532D"/>
    <w:rsid w:val="007771ED"/>
    <w:rsid w:val="007E0702"/>
    <w:rsid w:val="008377F4"/>
    <w:rsid w:val="00944490"/>
    <w:rsid w:val="009E1C67"/>
    <w:rsid w:val="00AC4C1E"/>
    <w:rsid w:val="00AC76CA"/>
    <w:rsid w:val="00B9487F"/>
    <w:rsid w:val="00C03BFF"/>
    <w:rsid w:val="00C30E6E"/>
    <w:rsid w:val="00D009FB"/>
    <w:rsid w:val="00DA6F7E"/>
    <w:rsid w:val="00E631AF"/>
    <w:rsid w:val="00F8368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85303"/>
  <w15:docId w15:val="{12D310D7-BE55-F743-BE12-F83CB1368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39" w:lineRule="auto"/>
      <w:jc w:val="both"/>
    </w:pPr>
    <w:rPr>
      <w:rFonts w:ascii="Calibri" w:eastAsia="Calibri" w:hAnsi="Calibri" w:cs="Calibri"/>
      <w:color w:val="000000"/>
      <w:sz w:val="22"/>
      <w:lang w:bidi="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1C67"/>
    <w:rPr>
      <w:rFonts w:ascii="Times New Roman" w:hAnsi="Times New Roman" w:cs="Times New Roman"/>
      <w:sz w:val="24"/>
    </w:rPr>
  </w:style>
  <w:style w:type="character" w:styleId="CommentReference">
    <w:name w:val="annotation reference"/>
    <w:basedOn w:val="DefaultParagraphFont"/>
    <w:uiPriority w:val="99"/>
    <w:semiHidden/>
    <w:unhideWhenUsed/>
    <w:rsid w:val="00590726"/>
    <w:rPr>
      <w:sz w:val="16"/>
      <w:szCs w:val="16"/>
    </w:rPr>
  </w:style>
  <w:style w:type="paragraph" w:styleId="ListParagraph">
    <w:name w:val="List Paragraph"/>
    <w:basedOn w:val="Normal"/>
    <w:uiPriority w:val="1"/>
    <w:qFormat/>
    <w:rsid w:val="00590726"/>
    <w:pPr>
      <w:ind w:left="720"/>
      <w:contextualSpacing/>
    </w:pPr>
  </w:style>
  <w:style w:type="paragraph" w:customStyle="1" w:styleId="MDPI13authornames">
    <w:name w:val="MDPI_1.3_authornames"/>
    <w:next w:val="Normal"/>
    <w:qFormat/>
    <w:rsid w:val="00AC76CA"/>
    <w:pPr>
      <w:adjustRightInd w:val="0"/>
      <w:snapToGrid w:val="0"/>
      <w:spacing w:after="360" w:line="260" w:lineRule="atLeast"/>
    </w:pPr>
    <w:rPr>
      <w:rFonts w:ascii="Palatino Linotype" w:eastAsia="Times New Roman" w:hAnsi="Palatino Linotype" w:cs="Times New Roman"/>
      <w:b/>
      <w:color w:val="000000"/>
      <w:sz w:val="20"/>
      <w:szCs w:val="22"/>
      <w:lang w:val="en-US" w:eastAsia="de-DE" w:bidi="en-US"/>
    </w:rPr>
  </w:style>
  <w:style w:type="paragraph" w:customStyle="1" w:styleId="MDPI16affiliation">
    <w:name w:val="MDPI_1.6_affiliation"/>
    <w:qFormat/>
    <w:rsid w:val="00AC76CA"/>
    <w:pPr>
      <w:adjustRightInd w:val="0"/>
      <w:snapToGrid w:val="0"/>
      <w:spacing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61Citation">
    <w:name w:val="MDPI_6.1_Citation"/>
    <w:qFormat/>
    <w:rsid w:val="00AC76CA"/>
    <w:pPr>
      <w:adjustRightInd w:val="0"/>
      <w:snapToGrid w:val="0"/>
      <w:spacing w:line="240" w:lineRule="atLeast"/>
      <w:ind w:right="113"/>
    </w:pPr>
    <w:rPr>
      <w:rFonts w:ascii="Palatino Linotype" w:eastAsia="SimSun" w:hAnsi="Palatino Linotype" w:cs="Cordia New"/>
      <w:sz w:val="14"/>
      <w:szCs w:val="22"/>
      <w:lang w:val="en-US" w:eastAsia="zh-CN"/>
    </w:rPr>
  </w:style>
  <w:style w:type="paragraph" w:customStyle="1" w:styleId="MDPI72Copyright">
    <w:name w:val="MDPI_7.2_Copyright"/>
    <w:qFormat/>
    <w:rsid w:val="00AC76CA"/>
    <w:pPr>
      <w:adjustRightInd w:val="0"/>
      <w:snapToGrid w:val="0"/>
      <w:spacing w:before="60" w:line="240" w:lineRule="atLeast"/>
      <w:ind w:right="113"/>
      <w:jc w:val="both"/>
    </w:pPr>
    <w:rPr>
      <w:rFonts w:ascii="Palatino Linotype" w:eastAsia="Times New Roman" w:hAnsi="Palatino Linotype" w:cs="Times New Roman"/>
      <w:noProof/>
      <w:snapToGrid w:val="0"/>
      <w:color w:val="000000"/>
      <w:sz w:val="14"/>
      <w:szCs w:val="20"/>
      <w:lang w:val="en-GB" w:eastAsia="en-GB"/>
    </w:rPr>
  </w:style>
  <w:style w:type="paragraph" w:customStyle="1" w:styleId="MDPI31text">
    <w:name w:val="MDPI_3.1_text"/>
    <w:qFormat/>
    <w:rsid w:val="00AC76CA"/>
    <w:pPr>
      <w:adjustRightInd w:val="0"/>
      <w:snapToGrid w:val="0"/>
      <w:spacing w:line="228" w:lineRule="auto"/>
      <w:ind w:left="2608" w:firstLine="425"/>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21heading1">
    <w:name w:val="MDPI_2.1_heading1"/>
    <w:qFormat/>
    <w:rsid w:val="00AC76CA"/>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szCs w:val="22"/>
      <w:lang w:val="en-US" w:eastAsia="de-DE" w:bidi="en-US"/>
    </w:rPr>
  </w:style>
  <w:style w:type="paragraph" w:customStyle="1" w:styleId="MDPI51figurecaption">
    <w:name w:val="MDPI_5.1_figure_caption"/>
    <w:qFormat/>
    <w:rsid w:val="00AC76CA"/>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AC76CA"/>
    <w:pPr>
      <w:adjustRightInd w:val="0"/>
      <w:snapToGrid w:val="0"/>
      <w:spacing w:before="240" w:after="120"/>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22heading2">
    <w:name w:val="MDPI_2.2_heading2"/>
    <w:qFormat/>
    <w:rsid w:val="00AC76CA"/>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szCs w:val="22"/>
      <w:lang w:val="en-US" w:eastAsia="de-DE" w:bidi="en-US"/>
    </w:rPr>
  </w:style>
  <w:style w:type="paragraph" w:customStyle="1" w:styleId="MDPI41tablecaption">
    <w:name w:val="MDPI_4.1_table_caption"/>
    <w:qFormat/>
    <w:rsid w:val="00AC76CA"/>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AC76CA"/>
    <w:pPr>
      <w:adjustRightInd w:val="0"/>
      <w:snapToGrid w:val="0"/>
      <w:spacing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qFormat/>
    <w:rsid w:val="00AC76CA"/>
    <w:pPr>
      <w:adjustRightInd w:val="0"/>
      <w:snapToGrid w:val="0"/>
      <w:spacing w:line="228" w:lineRule="auto"/>
      <w:ind w:left="2608"/>
      <w:jc w:val="both"/>
    </w:pPr>
    <w:rPr>
      <w:rFonts w:ascii="Palatino Linotype" w:eastAsia="Times New Roman" w:hAnsi="Palatino Linotype" w:cs="Cordia New"/>
      <w:color w:val="000000"/>
      <w:sz w:val="18"/>
      <w:szCs w:val="22"/>
      <w:lang w:val="en-US" w:eastAsia="de-DE" w:bidi="en-US"/>
    </w:rPr>
  </w:style>
  <w:style w:type="paragraph" w:styleId="Header">
    <w:name w:val="header"/>
    <w:basedOn w:val="Normal"/>
    <w:link w:val="HeaderChar"/>
    <w:uiPriority w:val="99"/>
    <w:unhideWhenUsed/>
    <w:rsid w:val="00AC76CA"/>
    <w:pPr>
      <w:tabs>
        <w:tab w:val="center" w:pos="4680"/>
        <w:tab w:val="right" w:pos="9360"/>
      </w:tabs>
      <w:spacing w:line="240" w:lineRule="auto"/>
    </w:pPr>
  </w:style>
  <w:style w:type="character" w:customStyle="1" w:styleId="HeaderChar">
    <w:name w:val="Header Char"/>
    <w:basedOn w:val="DefaultParagraphFont"/>
    <w:link w:val="Header"/>
    <w:uiPriority w:val="99"/>
    <w:rsid w:val="00AC76CA"/>
    <w:rPr>
      <w:rFonts w:ascii="Calibri" w:eastAsia="Calibri" w:hAnsi="Calibri" w:cs="Calibri"/>
      <w:color w:val="000000"/>
      <w:sz w:val="22"/>
      <w:lang w:bidi="it-IT"/>
    </w:rPr>
  </w:style>
  <w:style w:type="paragraph" w:styleId="Footer">
    <w:name w:val="footer"/>
    <w:basedOn w:val="Normal"/>
    <w:link w:val="FooterChar"/>
    <w:uiPriority w:val="99"/>
    <w:unhideWhenUsed/>
    <w:rsid w:val="00AC76CA"/>
    <w:pPr>
      <w:tabs>
        <w:tab w:val="center" w:pos="4680"/>
        <w:tab w:val="right" w:pos="9360"/>
      </w:tabs>
      <w:spacing w:line="240" w:lineRule="auto"/>
    </w:pPr>
  </w:style>
  <w:style w:type="character" w:customStyle="1" w:styleId="FooterChar">
    <w:name w:val="Footer Char"/>
    <w:basedOn w:val="DefaultParagraphFont"/>
    <w:link w:val="Footer"/>
    <w:uiPriority w:val="99"/>
    <w:rsid w:val="00AC76CA"/>
    <w:rPr>
      <w:rFonts w:ascii="Calibri" w:eastAsia="Calibri" w:hAnsi="Calibri" w:cs="Calibri"/>
      <w:color w:val="000000"/>
      <w:sz w:val="22"/>
      <w:lang w:bidi="it-IT"/>
    </w:rPr>
  </w:style>
  <w:style w:type="paragraph" w:customStyle="1" w:styleId="MDPI71References">
    <w:name w:val="MDPI_7.1_References"/>
    <w:qFormat/>
    <w:rsid w:val="00240F9B"/>
    <w:pPr>
      <w:numPr>
        <w:numId w:val="4"/>
      </w:numPr>
      <w:adjustRightInd w:val="0"/>
      <w:snapToGrid w:val="0"/>
      <w:spacing w:line="228" w:lineRule="auto"/>
      <w:jc w:val="both"/>
    </w:pPr>
    <w:rPr>
      <w:rFonts w:ascii="Palatino Linotype" w:eastAsia="Times New Roman" w:hAnsi="Palatino Linotype" w:cs="Times New Roman"/>
      <w:color w:val="000000"/>
      <w:sz w:val="18"/>
      <w:szCs w:val="20"/>
      <w:lang w:val="en-US" w:eastAsia="de-DE" w:bidi="en-US"/>
    </w:rPr>
  </w:style>
  <w:style w:type="character" w:styleId="Hyperlink">
    <w:name w:val="Hyperlink"/>
    <w:basedOn w:val="DefaultParagraphFont"/>
    <w:uiPriority w:val="99"/>
    <w:unhideWhenUsed/>
    <w:rsid w:val="00547FF4"/>
    <w:rPr>
      <w:color w:val="0563C1" w:themeColor="hyperlink"/>
      <w:u w:val="single"/>
    </w:rPr>
  </w:style>
  <w:style w:type="character" w:styleId="UnresolvedMention">
    <w:name w:val="Unresolved Mention"/>
    <w:basedOn w:val="DefaultParagraphFont"/>
    <w:uiPriority w:val="99"/>
    <w:semiHidden/>
    <w:unhideWhenUsed/>
    <w:rsid w:val="00547FF4"/>
    <w:rPr>
      <w:color w:val="605E5C"/>
      <w:shd w:val="clear" w:color="auto" w:fill="E1DFDD"/>
    </w:rPr>
  </w:style>
  <w:style w:type="paragraph" w:customStyle="1" w:styleId="MCBody">
    <w:name w:val="MC Body"/>
    <w:next w:val="Normal"/>
    <w:rsid w:val="004C0F88"/>
    <w:pPr>
      <w:spacing w:before="120"/>
      <w:jc w:val="both"/>
    </w:pPr>
    <w:rPr>
      <w:rFonts w:ascii="Times New Roman" w:eastAsia="Times New Roman" w:hAnsi="Times New Roman" w:cs="Times New Roman"/>
      <w:sz w:val="20"/>
      <w:szCs w:val="20"/>
      <w:lang w:val="en-US" w:eastAsia="en-US"/>
    </w:rPr>
  </w:style>
  <w:style w:type="paragraph" w:customStyle="1" w:styleId="MCSectionHead">
    <w:name w:val="MC Section Head"/>
    <w:basedOn w:val="MCBody"/>
    <w:next w:val="Normal"/>
    <w:rsid w:val="004C0F88"/>
    <w:rPr>
      <w:b/>
    </w:rPr>
  </w:style>
  <w:style w:type="paragraph" w:customStyle="1" w:styleId="MCReference">
    <w:name w:val="MC Reference"/>
    <w:basedOn w:val="MCBody"/>
    <w:rsid w:val="004C0F88"/>
    <w:pPr>
      <w:spacing w:before="0"/>
      <w:jc w:val="left"/>
    </w:pPr>
    <w:rPr>
      <w:sz w:val="16"/>
    </w:rPr>
  </w:style>
  <w:style w:type="paragraph" w:customStyle="1" w:styleId="MCAuthor">
    <w:name w:val="MC Author"/>
    <w:basedOn w:val="MCBody"/>
    <w:next w:val="MCAuthorAffiliation"/>
    <w:rsid w:val="004C0F88"/>
    <w:pPr>
      <w:spacing w:before="0"/>
      <w:jc w:val="center"/>
    </w:pPr>
    <w:rPr>
      <w:b/>
    </w:rPr>
  </w:style>
  <w:style w:type="paragraph" w:customStyle="1" w:styleId="MCAuthorAffiliation">
    <w:name w:val="MC Author Affiliation"/>
    <w:basedOn w:val="MCBody"/>
    <w:next w:val="Normal"/>
    <w:rsid w:val="004C0F88"/>
    <w:pPr>
      <w:spacing w:before="0"/>
      <w:jc w:val="center"/>
    </w:pPr>
    <w:rPr>
      <w:rFonts w:ascii="Times" w:hAnsi="Times"/>
      <w:i/>
      <w:sz w:val="16"/>
    </w:rPr>
  </w:style>
  <w:style w:type="paragraph" w:customStyle="1" w:styleId="MCAbstract">
    <w:name w:val="MC Abstract"/>
    <w:basedOn w:val="Normal"/>
    <w:rsid w:val="004C0F88"/>
    <w:pPr>
      <w:spacing w:line="240" w:lineRule="auto"/>
      <w:ind w:left="720" w:right="720"/>
    </w:pPr>
    <w:rPr>
      <w:rFonts w:ascii="Times New Roman" w:eastAsia="Times New Roman" w:hAnsi="Times New Roman" w:cs="Times New Roman"/>
      <w:color w:val="auto"/>
      <w:sz w:val="20"/>
      <w:szCs w:val="20"/>
      <w:lang w:val="en-US" w:eastAsia="en-US" w:bidi="ar-SA"/>
    </w:rPr>
  </w:style>
  <w:style w:type="paragraph" w:customStyle="1" w:styleId="Default">
    <w:name w:val="Default"/>
    <w:rsid w:val="004C0F88"/>
    <w:pPr>
      <w:autoSpaceDE w:val="0"/>
      <w:autoSpaceDN w:val="0"/>
      <w:adjustRightInd w:val="0"/>
    </w:pPr>
    <w:rPr>
      <w:rFonts w:ascii="Times New Roman" w:eastAsia="Times New Roman" w:hAnsi="Times New Roman" w:cs="Times New Roman"/>
      <w:color w:val="000000"/>
    </w:rPr>
  </w:style>
  <w:style w:type="paragraph" w:styleId="Caption">
    <w:name w:val="caption"/>
    <w:basedOn w:val="Normal"/>
    <w:next w:val="Normal"/>
    <w:unhideWhenUsed/>
    <w:qFormat/>
    <w:rsid w:val="004C0F88"/>
    <w:pPr>
      <w:spacing w:after="200" w:line="240" w:lineRule="auto"/>
      <w:jc w:val="left"/>
    </w:pPr>
    <w:rPr>
      <w:rFonts w:ascii="Times New Roman" w:eastAsia="Times New Roman" w:hAnsi="Times New Roman" w:cs="Times New Roman"/>
      <w:i/>
      <w:iCs/>
      <w:color w:val="44546A" w:themeColor="text2"/>
      <w:sz w:val="18"/>
      <w:szCs w:val="1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88706">
      <w:bodyDiv w:val="1"/>
      <w:marLeft w:val="0"/>
      <w:marRight w:val="0"/>
      <w:marTop w:val="0"/>
      <w:marBottom w:val="0"/>
      <w:divBdr>
        <w:top w:val="none" w:sz="0" w:space="0" w:color="auto"/>
        <w:left w:val="none" w:sz="0" w:space="0" w:color="auto"/>
        <w:bottom w:val="none" w:sz="0" w:space="0" w:color="auto"/>
        <w:right w:val="none" w:sz="0" w:space="0" w:color="auto"/>
      </w:divBdr>
      <w:divsChild>
        <w:div w:id="1374381306">
          <w:marLeft w:val="0"/>
          <w:marRight w:val="0"/>
          <w:marTop w:val="0"/>
          <w:marBottom w:val="0"/>
          <w:divBdr>
            <w:top w:val="none" w:sz="0" w:space="0" w:color="auto"/>
            <w:left w:val="none" w:sz="0" w:space="0" w:color="auto"/>
            <w:bottom w:val="none" w:sz="0" w:space="0" w:color="auto"/>
            <w:right w:val="none" w:sz="0" w:space="0" w:color="auto"/>
          </w:divBdr>
          <w:divsChild>
            <w:div w:id="181169375">
              <w:marLeft w:val="0"/>
              <w:marRight w:val="0"/>
              <w:marTop w:val="0"/>
              <w:marBottom w:val="0"/>
              <w:divBdr>
                <w:top w:val="none" w:sz="0" w:space="0" w:color="auto"/>
                <w:left w:val="none" w:sz="0" w:space="0" w:color="auto"/>
                <w:bottom w:val="none" w:sz="0" w:space="0" w:color="auto"/>
                <w:right w:val="none" w:sz="0" w:space="0" w:color="auto"/>
              </w:divBdr>
              <w:divsChild>
                <w:div w:id="105096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99354">
      <w:bodyDiv w:val="1"/>
      <w:marLeft w:val="0"/>
      <w:marRight w:val="0"/>
      <w:marTop w:val="0"/>
      <w:marBottom w:val="0"/>
      <w:divBdr>
        <w:top w:val="none" w:sz="0" w:space="0" w:color="auto"/>
        <w:left w:val="none" w:sz="0" w:space="0" w:color="auto"/>
        <w:bottom w:val="none" w:sz="0" w:space="0" w:color="auto"/>
        <w:right w:val="none" w:sz="0" w:space="0" w:color="auto"/>
      </w:divBdr>
      <w:divsChild>
        <w:div w:id="1305357832">
          <w:marLeft w:val="0"/>
          <w:marRight w:val="0"/>
          <w:marTop w:val="0"/>
          <w:marBottom w:val="0"/>
          <w:divBdr>
            <w:top w:val="none" w:sz="0" w:space="0" w:color="auto"/>
            <w:left w:val="none" w:sz="0" w:space="0" w:color="auto"/>
            <w:bottom w:val="none" w:sz="0" w:space="0" w:color="auto"/>
            <w:right w:val="none" w:sz="0" w:space="0" w:color="auto"/>
          </w:divBdr>
          <w:divsChild>
            <w:div w:id="724530493">
              <w:marLeft w:val="0"/>
              <w:marRight w:val="0"/>
              <w:marTop w:val="0"/>
              <w:marBottom w:val="0"/>
              <w:divBdr>
                <w:top w:val="none" w:sz="0" w:space="0" w:color="auto"/>
                <w:left w:val="none" w:sz="0" w:space="0" w:color="auto"/>
                <w:bottom w:val="none" w:sz="0" w:space="0" w:color="auto"/>
                <w:right w:val="none" w:sz="0" w:space="0" w:color="auto"/>
              </w:divBdr>
              <w:divsChild>
                <w:div w:id="4376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02353">
      <w:bodyDiv w:val="1"/>
      <w:marLeft w:val="0"/>
      <w:marRight w:val="0"/>
      <w:marTop w:val="0"/>
      <w:marBottom w:val="0"/>
      <w:divBdr>
        <w:top w:val="none" w:sz="0" w:space="0" w:color="auto"/>
        <w:left w:val="none" w:sz="0" w:space="0" w:color="auto"/>
        <w:bottom w:val="none" w:sz="0" w:space="0" w:color="auto"/>
        <w:right w:val="none" w:sz="0" w:space="0" w:color="auto"/>
      </w:divBdr>
      <w:divsChild>
        <w:div w:id="417752792">
          <w:marLeft w:val="0"/>
          <w:marRight w:val="0"/>
          <w:marTop w:val="0"/>
          <w:marBottom w:val="0"/>
          <w:divBdr>
            <w:top w:val="none" w:sz="0" w:space="0" w:color="auto"/>
            <w:left w:val="none" w:sz="0" w:space="0" w:color="auto"/>
            <w:bottom w:val="none" w:sz="0" w:space="0" w:color="auto"/>
            <w:right w:val="none" w:sz="0" w:space="0" w:color="auto"/>
          </w:divBdr>
          <w:divsChild>
            <w:div w:id="2020500714">
              <w:marLeft w:val="0"/>
              <w:marRight w:val="0"/>
              <w:marTop w:val="0"/>
              <w:marBottom w:val="0"/>
              <w:divBdr>
                <w:top w:val="none" w:sz="0" w:space="0" w:color="auto"/>
                <w:left w:val="none" w:sz="0" w:space="0" w:color="auto"/>
                <w:bottom w:val="none" w:sz="0" w:space="0" w:color="auto"/>
                <w:right w:val="none" w:sz="0" w:space="0" w:color="auto"/>
              </w:divBdr>
              <w:divsChild>
                <w:div w:id="2711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5574">
      <w:bodyDiv w:val="1"/>
      <w:marLeft w:val="0"/>
      <w:marRight w:val="0"/>
      <w:marTop w:val="0"/>
      <w:marBottom w:val="0"/>
      <w:divBdr>
        <w:top w:val="none" w:sz="0" w:space="0" w:color="auto"/>
        <w:left w:val="none" w:sz="0" w:space="0" w:color="auto"/>
        <w:bottom w:val="none" w:sz="0" w:space="0" w:color="auto"/>
        <w:right w:val="none" w:sz="0" w:space="0" w:color="auto"/>
      </w:divBdr>
      <w:divsChild>
        <w:div w:id="29376400">
          <w:marLeft w:val="0"/>
          <w:marRight w:val="0"/>
          <w:marTop w:val="0"/>
          <w:marBottom w:val="0"/>
          <w:divBdr>
            <w:top w:val="none" w:sz="0" w:space="0" w:color="auto"/>
            <w:left w:val="none" w:sz="0" w:space="0" w:color="auto"/>
            <w:bottom w:val="none" w:sz="0" w:space="0" w:color="auto"/>
            <w:right w:val="none" w:sz="0" w:space="0" w:color="auto"/>
          </w:divBdr>
          <w:divsChild>
            <w:div w:id="848956517">
              <w:marLeft w:val="0"/>
              <w:marRight w:val="0"/>
              <w:marTop w:val="0"/>
              <w:marBottom w:val="0"/>
              <w:divBdr>
                <w:top w:val="none" w:sz="0" w:space="0" w:color="auto"/>
                <w:left w:val="none" w:sz="0" w:space="0" w:color="auto"/>
                <w:bottom w:val="none" w:sz="0" w:space="0" w:color="auto"/>
                <w:right w:val="none" w:sz="0" w:space="0" w:color="auto"/>
              </w:divBdr>
              <w:divsChild>
                <w:div w:id="12594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76868">
      <w:bodyDiv w:val="1"/>
      <w:marLeft w:val="0"/>
      <w:marRight w:val="0"/>
      <w:marTop w:val="0"/>
      <w:marBottom w:val="0"/>
      <w:divBdr>
        <w:top w:val="none" w:sz="0" w:space="0" w:color="auto"/>
        <w:left w:val="none" w:sz="0" w:space="0" w:color="auto"/>
        <w:bottom w:val="none" w:sz="0" w:space="0" w:color="auto"/>
        <w:right w:val="none" w:sz="0" w:space="0" w:color="auto"/>
      </w:divBdr>
      <w:divsChild>
        <w:div w:id="509178692">
          <w:marLeft w:val="0"/>
          <w:marRight w:val="0"/>
          <w:marTop w:val="0"/>
          <w:marBottom w:val="0"/>
          <w:divBdr>
            <w:top w:val="none" w:sz="0" w:space="0" w:color="auto"/>
            <w:left w:val="none" w:sz="0" w:space="0" w:color="auto"/>
            <w:bottom w:val="none" w:sz="0" w:space="0" w:color="auto"/>
            <w:right w:val="none" w:sz="0" w:space="0" w:color="auto"/>
          </w:divBdr>
          <w:divsChild>
            <w:div w:id="548107757">
              <w:marLeft w:val="0"/>
              <w:marRight w:val="0"/>
              <w:marTop w:val="0"/>
              <w:marBottom w:val="0"/>
              <w:divBdr>
                <w:top w:val="none" w:sz="0" w:space="0" w:color="auto"/>
                <w:left w:val="none" w:sz="0" w:space="0" w:color="auto"/>
                <w:bottom w:val="none" w:sz="0" w:space="0" w:color="auto"/>
                <w:right w:val="none" w:sz="0" w:space="0" w:color="auto"/>
              </w:divBdr>
              <w:divsChild>
                <w:div w:id="7105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54056">
      <w:bodyDiv w:val="1"/>
      <w:marLeft w:val="0"/>
      <w:marRight w:val="0"/>
      <w:marTop w:val="0"/>
      <w:marBottom w:val="0"/>
      <w:divBdr>
        <w:top w:val="none" w:sz="0" w:space="0" w:color="auto"/>
        <w:left w:val="none" w:sz="0" w:space="0" w:color="auto"/>
        <w:bottom w:val="none" w:sz="0" w:space="0" w:color="auto"/>
        <w:right w:val="none" w:sz="0" w:space="0" w:color="auto"/>
      </w:divBdr>
      <w:divsChild>
        <w:div w:id="1093092138">
          <w:marLeft w:val="0"/>
          <w:marRight w:val="0"/>
          <w:marTop w:val="0"/>
          <w:marBottom w:val="0"/>
          <w:divBdr>
            <w:top w:val="none" w:sz="0" w:space="0" w:color="auto"/>
            <w:left w:val="none" w:sz="0" w:space="0" w:color="auto"/>
            <w:bottom w:val="none" w:sz="0" w:space="0" w:color="auto"/>
            <w:right w:val="none" w:sz="0" w:space="0" w:color="auto"/>
          </w:divBdr>
          <w:divsChild>
            <w:div w:id="625084865">
              <w:marLeft w:val="0"/>
              <w:marRight w:val="0"/>
              <w:marTop w:val="0"/>
              <w:marBottom w:val="0"/>
              <w:divBdr>
                <w:top w:val="none" w:sz="0" w:space="0" w:color="auto"/>
                <w:left w:val="none" w:sz="0" w:space="0" w:color="auto"/>
                <w:bottom w:val="none" w:sz="0" w:space="0" w:color="auto"/>
                <w:right w:val="none" w:sz="0" w:space="0" w:color="auto"/>
              </w:divBdr>
              <w:divsChild>
                <w:div w:id="16597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79565">
      <w:bodyDiv w:val="1"/>
      <w:marLeft w:val="0"/>
      <w:marRight w:val="0"/>
      <w:marTop w:val="0"/>
      <w:marBottom w:val="0"/>
      <w:divBdr>
        <w:top w:val="none" w:sz="0" w:space="0" w:color="auto"/>
        <w:left w:val="none" w:sz="0" w:space="0" w:color="auto"/>
        <w:bottom w:val="none" w:sz="0" w:space="0" w:color="auto"/>
        <w:right w:val="none" w:sz="0" w:space="0" w:color="auto"/>
      </w:divBdr>
      <w:divsChild>
        <w:div w:id="970137160">
          <w:marLeft w:val="0"/>
          <w:marRight w:val="0"/>
          <w:marTop w:val="0"/>
          <w:marBottom w:val="0"/>
          <w:divBdr>
            <w:top w:val="none" w:sz="0" w:space="0" w:color="auto"/>
            <w:left w:val="none" w:sz="0" w:space="0" w:color="auto"/>
            <w:bottom w:val="none" w:sz="0" w:space="0" w:color="auto"/>
            <w:right w:val="none" w:sz="0" w:space="0" w:color="auto"/>
          </w:divBdr>
          <w:divsChild>
            <w:div w:id="990717616">
              <w:marLeft w:val="0"/>
              <w:marRight w:val="0"/>
              <w:marTop w:val="0"/>
              <w:marBottom w:val="0"/>
              <w:divBdr>
                <w:top w:val="none" w:sz="0" w:space="0" w:color="auto"/>
                <w:left w:val="none" w:sz="0" w:space="0" w:color="auto"/>
                <w:bottom w:val="none" w:sz="0" w:space="0" w:color="auto"/>
                <w:right w:val="none" w:sz="0" w:space="0" w:color="auto"/>
              </w:divBdr>
              <w:divsChild>
                <w:div w:id="6889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89">
      <w:bodyDiv w:val="1"/>
      <w:marLeft w:val="0"/>
      <w:marRight w:val="0"/>
      <w:marTop w:val="0"/>
      <w:marBottom w:val="0"/>
      <w:divBdr>
        <w:top w:val="none" w:sz="0" w:space="0" w:color="auto"/>
        <w:left w:val="none" w:sz="0" w:space="0" w:color="auto"/>
        <w:bottom w:val="none" w:sz="0" w:space="0" w:color="auto"/>
        <w:right w:val="none" w:sz="0" w:space="0" w:color="auto"/>
      </w:divBdr>
      <w:divsChild>
        <w:div w:id="1472482118">
          <w:marLeft w:val="0"/>
          <w:marRight w:val="0"/>
          <w:marTop w:val="0"/>
          <w:marBottom w:val="0"/>
          <w:divBdr>
            <w:top w:val="none" w:sz="0" w:space="0" w:color="auto"/>
            <w:left w:val="none" w:sz="0" w:space="0" w:color="auto"/>
            <w:bottom w:val="none" w:sz="0" w:space="0" w:color="auto"/>
            <w:right w:val="none" w:sz="0" w:space="0" w:color="auto"/>
          </w:divBdr>
          <w:divsChild>
            <w:div w:id="1507938228">
              <w:marLeft w:val="0"/>
              <w:marRight w:val="0"/>
              <w:marTop w:val="0"/>
              <w:marBottom w:val="0"/>
              <w:divBdr>
                <w:top w:val="none" w:sz="0" w:space="0" w:color="auto"/>
                <w:left w:val="none" w:sz="0" w:space="0" w:color="auto"/>
                <w:bottom w:val="none" w:sz="0" w:space="0" w:color="auto"/>
                <w:right w:val="none" w:sz="0" w:space="0" w:color="auto"/>
              </w:divBdr>
              <w:divsChild>
                <w:div w:id="10574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7046">
      <w:bodyDiv w:val="1"/>
      <w:marLeft w:val="0"/>
      <w:marRight w:val="0"/>
      <w:marTop w:val="0"/>
      <w:marBottom w:val="0"/>
      <w:divBdr>
        <w:top w:val="none" w:sz="0" w:space="0" w:color="auto"/>
        <w:left w:val="none" w:sz="0" w:space="0" w:color="auto"/>
        <w:bottom w:val="none" w:sz="0" w:space="0" w:color="auto"/>
        <w:right w:val="none" w:sz="0" w:space="0" w:color="auto"/>
      </w:divBdr>
      <w:divsChild>
        <w:div w:id="365066488">
          <w:marLeft w:val="0"/>
          <w:marRight w:val="0"/>
          <w:marTop w:val="0"/>
          <w:marBottom w:val="0"/>
          <w:divBdr>
            <w:top w:val="none" w:sz="0" w:space="0" w:color="auto"/>
            <w:left w:val="none" w:sz="0" w:space="0" w:color="auto"/>
            <w:bottom w:val="none" w:sz="0" w:space="0" w:color="auto"/>
            <w:right w:val="none" w:sz="0" w:space="0" w:color="auto"/>
          </w:divBdr>
          <w:divsChild>
            <w:div w:id="1206523646">
              <w:marLeft w:val="0"/>
              <w:marRight w:val="0"/>
              <w:marTop w:val="0"/>
              <w:marBottom w:val="0"/>
              <w:divBdr>
                <w:top w:val="none" w:sz="0" w:space="0" w:color="auto"/>
                <w:left w:val="none" w:sz="0" w:space="0" w:color="auto"/>
                <w:bottom w:val="none" w:sz="0" w:space="0" w:color="auto"/>
                <w:right w:val="none" w:sz="0" w:space="0" w:color="auto"/>
              </w:divBdr>
              <w:divsChild>
                <w:div w:id="5746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12054">
      <w:bodyDiv w:val="1"/>
      <w:marLeft w:val="0"/>
      <w:marRight w:val="0"/>
      <w:marTop w:val="0"/>
      <w:marBottom w:val="0"/>
      <w:divBdr>
        <w:top w:val="none" w:sz="0" w:space="0" w:color="auto"/>
        <w:left w:val="none" w:sz="0" w:space="0" w:color="auto"/>
        <w:bottom w:val="none" w:sz="0" w:space="0" w:color="auto"/>
        <w:right w:val="none" w:sz="0" w:space="0" w:color="auto"/>
      </w:divBdr>
      <w:divsChild>
        <w:div w:id="1200968349">
          <w:marLeft w:val="0"/>
          <w:marRight w:val="0"/>
          <w:marTop w:val="0"/>
          <w:marBottom w:val="0"/>
          <w:divBdr>
            <w:top w:val="none" w:sz="0" w:space="0" w:color="auto"/>
            <w:left w:val="none" w:sz="0" w:space="0" w:color="auto"/>
            <w:bottom w:val="none" w:sz="0" w:space="0" w:color="auto"/>
            <w:right w:val="none" w:sz="0" w:space="0" w:color="auto"/>
          </w:divBdr>
          <w:divsChild>
            <w:div w:id="2014334369">
              <w:marLeft w:val="0"/>
              <w:marRight w:val="0"/>
              <w:marTop w:val="0"/>
              <w:marBottom w:val="0"/>
              <w:divBdr>
                <w:top w:val="none" w:sz="0" w:space="0" w:color="auto"/>
                <w:left w:val="none" w:sz="0" w:space="0" w:color="auto"/>
                <w:bottom w:val="none" w:sz="0" w:space="0" w:color="auto"/>
                <w:right w:val="none" w:sz="0" w:space="0" w:color="auto"/>
              </w:divBdr>
              <w:divsChild>
                <w:div w:id="557279833">
                  <w:marLeft w:val="0"/>
                  <w:marRight w:val="0"/>
                  <w:marTop w:val="0"/>
                  <w:marBottom w:val="0"/>
                  <w:divBdr>
                    <w:top w:val="none" w:sz="0" w:space="0" w:color="auto"/>
                    <w:left w:val="none" w:sz="0" w:space="0" w:color="auto"/>
                    <w:bottom w:val="none" w:sz="0" w:space="0" w:color="auto"/>
                    <w:right w:val="none" w:sz="0" w:space="0" w:color="auto"/>
                  </w:divBdr>
                  <w:divsChild>
                    <w:div w:id="211408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578818">
      <w:bodyDiv w:val="1"/>
      <w:marLeft w:val="0"/>
      <w:marRight w:val="0"/>
      <w:marTop w:val="0"/>
      <w:marBottom w:val="0"/>
      <w:divBdr>
        <w:top w:val="none" w:sz="0" w:space="0" w:color="auto"/>
        <w:left w:val="none" w:sz="0" w:space="0" w:color="auto"/>
        <w:bottom w:val="none" w:sz="0" w:space="0" w:color="auto"/>
        <w:right w:val="none" w:sz="0" w:space="0" w:color="auto"/>
      </w:divBdr>
      <w:divsChild>
        <w:div w:id="1640838958">
          <w:marLeft w:val="0"/>
          <w:marRight w:val="0"/>
          <w:marTop w:val="0"/>
          <w:marBottom w:val="0"/>
          <w:divBdr>
            <w:top w:val="none" w:sz="0" w:space="0" w:color="auto"/>
            <w:left w:val="none" w:sz="0" w:space="0" w:color="auto"/>
            <w:bottom w:val="none" w:sz="0" w:space="0" w:color="auto"/>
            <w:right w:val="none" w:sz="0" w:space="0" w:color="auto"/>
          </w:divBdr>
          <w:divsChild>
            <w:div w:id="1933735500">
              <w:marLeft w:val="0"/>
              <w:marRight w:val="0"/>
              <w:marTop w:val="0"/>
              <w:marBottom w:val="0"/>
              <w:divBdr>
                <w:top w:val="none" w:sz="0" w:space="0" w:color="auto"/>
                <w:left w:val="none" w:sz="0" w:space="0" w:color="auto"/>
                <w:bottom w:val="none" w:sz="0" w:space="0" w:color="auto"/>
                <w:right w:val="none" w:sz="0" w:space="0" w:color="auto"/>
              </w:divBdr>
              <w:divsChild>
                <w:div w:id="12710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1225</Words>
  <Characters>6984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THz</dc:creator>
  <cp:keywords/>
  <cp:lastModifiedBy>Zahra Mazaheri</cp:lastModifiedBy>
  <cp:revision>2</cp:revision>
  <dcterms:created xsi:type="dcterms:W3CDTF">2024-01-26T14:21:00Z</dcterms:created>
  <dcterms:modified xsi:type="dcterms:W3CDTF">2024-01-26T14:21:00Z</dcterms:modified>
</cp:coreProperties>
</file>