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2CE8" w14:textId="16434D9F" w:rsidR="005E4E8C" w:rsidRPr="006023F9" w:rsidRDefault="00A67DD4">
      <w:pPr>
        <w:spacing w:line="259" w:lineRule="auto"/>
        <w:ind w:right="8"/>
        <w:jc w:val="center"/>
        <w:rPr>
          <w:rFonts w:ascii="Times New Roman" w:hAnsi="Times New Roman" w:cs="Times New Roman"/>
          <w:sz w:val="32"/>
          <w:szCs w:val="36"/>
          <w:lang w:val="en-US"/>
        </w:rPr>
      </w:pPr>
      <w:r>
        <w:rPr>
          <w:rFonts w:ascii="Times New Roman" w:hAnsi="Times New Roman" w:cs="Times New Roman"/>
          <w:b/>
          <w:sz w:val="32"/>
          <w:szCs w:val="36"/>
          <w:lang w:val="en-US"/>
        </w:rPr>
        <w:t>THz amplitude modulation by organic-based metadevices</w:t>
      </w:r>
    </w:p>
    <w:p w14:paraId="545E9E17" w14:textId="67430421" w:rsidR="005E4E8C" w:rsidRPr="006023F9" w:rsidRDefault="00000000">
      <w:pPr>
        <w:spacing w:line="259" w:lineRule="auto"/>
        <w:jc w:val="left"/>
        <w:rPr>
          <w:rFonts w:ascii="Times New Roman" w:hAnsi="Times New Roman" w:cs="Times New Roman"/>
          <w:lang w:val="en-US"/>
        </w:rPr>
      </w:pPr>
      <w:r w:rsidRPr="006023F9">
        <w:rPr>
          <w:rFonts w:ascii="Times New Roman" w:hAnsi="Times New Roman" w:cs="Times New Roman"/>
          <w:lang w:val="en-US"/>
        </w:rPr>
        <w:t xml:space="preserve"> </w:t>
      </w:r>
    </w:p>
    <w:p w14:paraId="43CE5F12" w14:textId="6BB64393" w:rsidR="00AC76CA" w:rsidRPr="006023F9" w:rsidRDefault="006023F9" w:rsidP="00AC76CA">
      <w:pPr>
        <w:pStyle w:val="MDPI13authornames"/>
        <w:jc w:val="center"/>
        <w:rPr>
          <w:rFonts w:ascii="Times New Roman" w:hAnsi="Times New Roman"/>
          <w:lang w:val="it-IT"/>
        </w:rPr>
      </w:pPr>
      <w:r w:rsidRPr="006023F9">
        <w:rPr>
          <w:rFonts w:ascii="Times New Roman" w:hAnsi="Times New Roman"/>
          <w:lang w:val="it-IT"/>
        </w:rPr>
        <w:t>Federico Grandi</w:t>
      </w:r>
      <w:r w:rsidRPr="006023F9">
        <w:rPr>
          <w:rFonts w:ascii="Times New Roman" w:hAnsi="Times New Roman"/>
          <w:vertAlign w:val="superscript"/>
          <w:lang w:val="it-IT"/>
        </w:rPr>
        <w:t>1,2</w:t>
      </w:r>
      <w:r w:rsidR="00141866">
        <w:rPr>
          <w:rFonts w:ascii="Times New Roman" w:hAnsi="Times New Roman"/>
          <w:vertAlign w:val="superscript"/>
          <w:lang w:val="it-IT"/>
        </w:rPr>
        <w:t>,*</w:t>
      </w:r>
      <w:r w:rsidRPr="006023F9">
        <w:rPr>
          <w:rFonts w:ascii="Times New Roman" w:hAnsi="Times New Roman"/>
          <w:lang w:val="it-IT"/>
        </w:rPr>
        <w:t>, Cristiano Bortolotti</w:t>
      </w:r>
      <w:r w:rsidRPr="006023F9">
        <w:rPr>
          <w:rFonts w:ascii="Times New Roman" w:hAnsi="Times New Roman"/>
          <w:vertAlign w:val="superscript"/>
          <w:lang w:val="it-IT"/>
        </w:rPr>
        <w:t>3,4</w:t>
      </w:r>
      <w:r w:rsidRPr="006023F9">
        <w:rPr>
          <w:rFonts w:ascii="Times New Roman" w:hAnsi="Times New Roman"/>
          <w:lang w:val="it-IT"/>
        </w:rPr>
        <w:t>, Francesco Modena</w:t>
      </w:r>
      <w:r w:rsidRPr="006023F9">
        <w:rPr>
          <w:rFonts w:ascii="Times New Roman" w:hAnsi="Times New Roman"/>
          <w:vertAlign w:val="superscript"/>
          <w:lang w:val="it-IT"/>
        </w:rPr>
        <w:t>4</w:t>
      </w:r>
      <w:r w:rsidRPr="006023F9">
        <w:rPr>
          <w:rFonts w:ascii="Times New Roman" w:hAnsi="Times New Roman"/>
          <w:lang w:val="it-IT"/>
        </w:rPr>
        <w:t>, Lorenzo Gatto</w:t>
      </w:r>
      <w:r w:rsidRPr="006023F9">
        <w:rPr>
          <w:rFonts w:ascii="Times New Roman" w:hAnsi="Times New Roman"/>
          <w:vertAlign w:val="superscript"/>
          <w:lang w:val="it-IT"/>
        </w:rPr>
        <w:t>1,2</w:t>
      </w:r>
      <w:r w:rsidRPr="006023F9">
        <w:rPr>
          <w:rFonts w:ascii="Times New Roman" w:hAnsi="Times New Roman"/>
          <w:lang w:val="it-IT"/>
        </w:rPr>
        <w:t>, Matteo Butti</w:t>
      </w:r>
      <w:r w:rsidRPr="006023F9">
        <w:rPr>
          <w:rFonts w:ascii="Times New Roman" w:hAnsi="Times New Roman"/>
          <w:vertAlign w:val="superscript"/>
          <w:lang w:val="it-IT"/>
        </w:rPr>
        <w:t>4</w:t>
      </w:r>
      <w:r w:rsidRPr="006023F9">
        <w:rPr>
          <w:rFonts w:ascii="Times New Roman" w:hAnsi="Times New Roman"/>
          <w:lang w:val="it-IT"/>
        </w:rPr>
        <w:t>, Iain McCulloch</w:t>
      </w:r>
      <w:r w:rsidRPr="006023F9">
        <w:rPr>
          <w:rFonts w:ascii="Times New Roman" w:hAnsi="Times New Roman"/>
          <w:vertAlign w:val="superscript"/>
          <w:lang w:val="it-IT"/>
        </w:rPr>
        <w:t>5</w:t>
      </w:r>
      <w:r w:rsidRPr="006023F9">
        <w:rPr>
          <w:rFonts w:ascii="Times New Roman" w:hAnsi="Times New Roman"/>
          <w:lang w:val="it-IT"/>
        </w:rPr>
        <w:t>, Caterina Vozzi</w:t>
      </w:r>
      <w:r w:rsidRPr="006023F9">
        <w:rPr>
          <w:rFonts w:ascii="Times New Roman" w:hAnsi="Times New Roman"/>
          <w:vertAlign w:val="superscript"/>
          <w:lang w:val="it-IT"/>
        </w:rPr>
        <w:t>2</w:t>
      </w:r>
      <w:r w:rsidRPr="006023F9">
        <w:rPr>
          <w:rFonts w:ascii="Times New Roman" w:hAnsi="Times New Roman"/>
          <w:lang w:val="it-IT"/>
        </w:rPr>
        <w:t>, Mario Caironi</w:t>
      </w:r>
      <w:r w:rsidRPr="006023F9">
        <w:rPr>
          <w:rFonts w:ascii="Times New Roman" w:hAnsi="Times New Roman"/>
          <w:vertAlign w:val="superscript"/>
          <w:lang w:val="it-IT"/>
        </w:rPr>
        <w:t>4</w:t>
      </w:r>
      <w:r w:rsidRPr="006023F9">
        <w:rPr>
          <w:rFonts w:ascii="Times New Roman" w:hAnsi="Times New Roman"/>
          <w:lang w:val="it-IT"/>
        </w:rPr>
        <w:t>, Giorgio E. Bonacchini</w:t>
      </w:r>
      <w:r w:rsidRPr="006023F9">
        <w:rPr>
          <w:rFonts w:ascii="Times New Roman" w:hAnsi="Times New Roman"/>
          <w:vertAlign w:val="superscript"/>
          <w:lang w:val="it-IT"/>
        </w:rPr>
        <w:t>3</w:t>
      </w:r>
      <w:r w:rsidRPr="006023F9">
        <w:rPr>
          <w:rFonts w:ascii="Times New Roman" w:hAnsi="Times New Roman"/>
          <w:lang w:val="it-IT"/>
        </w:rPr>
        <w:t>, Eugenio Cinquanta</w:t>
      </w:r>
      <w:r w:rsidRPr="006023F9">
        <w:rPr>
          <w:rFonts w:ascii="Times New Roman" w:hAnsi="Times New Roman"/>
          <w:vertAlign w:val="superscript"/>
          <w:lang w:val="it-IT"/>
        </w:rPr>
        <w:t>2</w:t>
      </w:r>
    </w:p>
    <w:p w14:paraId="273D5643" w14:textId="29CDDDBC" w:rsidR="00141866" w:rsidRPr="006D09F6" w:rsidRDefault="006D09F6" w:rsidP="001571AB">
      <w:pPr>
        <w:pStyle w:val="MDPI16affiliation"/>
        <w:ind w:left="1440" w:firstLine="0"/>
        <w:jc w:val="center"/>
        <w:rPr>
          <w:rFonts w:ascii="Times New Roman" w:hAnsi="Times New Roman"/>
          <w:lang w:val="it-IT"/>
        </w:rPr>
      </w:pPr>
      <w:r w:rsidRPr="006D09F6">
        <w:rPr>
          <w:rFonts w:ascii="Times New Roman" w:hAnsi="Times New Roman"/>
          <w:vertAlign w:val="superscript"/>
          <w:lang w:val="it-IT"/>
        </w:rPr>
        <w:t>1</w:t>
      </w:r>
      <w:r w:rsidRPr="006D09F6">
        <w:rPr>
          <w:rFonts w:ascii="Times New Roman" w:hAnsi="Times New Roman"/>
          <w:lang w:val="it-IT"/>
        </w:rPr>
        <w:t xml:space="preserve"> </w:t>
      </w:r>
      <w:r w:rsidR="00141866" w:rsidRPr="006D09F6">
        <w:rPr>
          <w:rFonts w:ascii="Times New Roman" w:hAnsi="Times New Roman"/>
          <w:lang w:val="it-IT"/>
        </w:rPr>
        <w:t>Department of Physics, Politecnico di Milano, Milan, Italy</w:t>
      </w:r>
    </w:p>
    <w:p w14:paraId="3834DD54" w14:textId="57CC9E4F" w:rsidR="00141866" w:rsidRDefault="006D09F6" w:rsidP="001571AB">
      <w:pPr>
        <w:pStyle w:val="MDPI16affiliation"/>
        <w:ind w:left="720" w:firstLine="0"/>
        <w:jc w:val="center"/>
        <w:rPr>
          <w:rFonts w:ascii="Times New Roman" w:hAnsi="Times New Roman"/>
          <w:lang w:val="it-IT"/>
        </w:rPr>
      </w:pPr>
      <w:r w:rsidRPr="006D09F6">
        <w:rPr>
          <w:rFonts w:ascii="Times New Roman" w:hAnsi="Times New Roman"/>
          <w:vertAlign w:val="superscript"/>
          <w:lang w:val="it-IT"/>
        </w:rPr>
        <w:t>2</w:t>
      </w:r>
      <w:r>
        <w:rPr>
          <w:rFonts w:ascii="Times New Roman" w:hAnsi="Times New Roman"/>
          <w:lang w:val="it-IT"/>
        </w:rPr>
        <w:t xml:space="preserve"> </w:t>
      </w:r>
      <w:r w:rsidR="00141866" w:rsidRPr="00141866">
        <w:rPr>
          <w:rFonts w:ascii="Times New Roman" w:hAnsi="Times New Roman"/>
          <w:lang w:val="it-IT"/>
        </w:rPr>
        <w:t>CNR IFN – Istituto di Fotonica e Nanotecnologie, Milano, Italy</w:t>
      </w:r>
    </w:p>
    <w:p w14:paraId="4931641E" w14:textId="63E7C594" w:rsidR="00141866" w:rsidRDefault="006D09F6" w:rsidP="001571AB">
      <w:pPr>
        <w:pStyle w:val="MDPI16affiliation"/>
        <w:ind w:left="720" w:firstLine="0"/>
        <w:jc w:val="center"/>
        <w:rPr>
          <w:rFonts w:ascii="Times New Roman" w:hAnsi="Times New Roman"/>
        </w:rPr>
      </w:pPr>
      <w:r w:rsidRPr="001571AB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</w:t>
      </w:r>
      <w:r w:rsidR="00141866" w:rsidRPr="00141866">
        <w:rPr>
          <w:rFonts w:ascii="Times New Roman" w:hAnsi="Times New Roman"/>
        </w:rPr>
        <w:t>Department of Electronics, Information and Bioengineering, Politecnico of Milan, Milan, Italy</w:t>
      </w:r>
    </w:p>
    <w:p w14:paraId="1386A5D3" w14:textId="3A6A9D38" w:rsidR="00141866" w:rsidRDefault="006D09F6" w:rsidP="001571AB">
      <w:pPr>
        <w:pStyle w:val="MDPI16affiliation"/>
        <w:ind w:left="720" w:firstLine="0"/>
        <w:jc w:val="center"/>
        <w:rPr>
          <w:rFonts w:ascii="Times New Roman" w:hAnsi="Times New Roman"/>
          <w:lang w:val="it-IT"/>
        </w:rPr>
      </w:pPr>
      <w:r w:rsidRPr="006D09F6">
        <w:rPr>
          <w:rFonts w:ascii="Times New Roman" w:hAnsi="Times New Roman"/>
          <w:vertAlign w:val="superscript"/>
          <w:lang w:val="it-IT"/>
        </w:rPr>
        <w:t>4</w:t>
      </w:r>
      <w:r>
        <w:rPr>
          <w:rFonts w:ascii="Times New Roman" w:hAnsi="Times New Roman"/>
          <w:lang w:val="it-IT"/>
        </w:rPr>
        <w:t xml:space="preserve"> </w:t>
      </w:r>
      <w:r w:rsidR="00141866" w:rsidRPr="00141866">
        <w:rPr>
          <w:rFonts w:ascii="Times New Roman" w:hAnsi="Times New Roman"/>
          <w:lang w:val="it-IT"/>
        </w:rPr>
        <w:t>Center for Nano Science and Technology@PoliMi, Istituto Italiano di Tecnologia, Milan, Italy</w:t>
      </w:r>
    </w:p>
    <w:p w14:paraId="5A1570AE" w14:textId="0C428167" w:rsidR="00141866" w:rsidRDefault="006D09F6" w:rsidP="001571AB">
      <w:pPr>
        <w:pStyle w:val="MDPI16affiliation"/>
        <w:ind w:left="720" w:firstLine="0"/>
        <w:jc w:val="center"/>
        <w:rPr>
          <w:rFonts w:ascii="Times New Roman" w:hAnsi="Times New Roman"/>
        </w:rPr>
      </w:pPr>
      <w:r w:rsidRPr="006D09F6"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 xml:space="preserve"> </w:t>
      </w:r>
      <w:r w:rsidR="00141866" w:rsidRPr="00141866">
        <w:rPr>
          <w:rFonts w:ascii="Times New Roman" w:hAnsi="Times New Roman"/>
        </w:rPr>
        <w:t>Department of Chemistry, Chemistry Research Laboratory, University of Oxford, Oxford, OX1 3TA, UK</w:t>
      </w:r>
    </w:p>
    <w:p w14:paraId="39739D1B" w14:textId="54DF8193" w:rsidR="00141866" w:rsidRDefault="00141866" w:rsidP="00141866">
      <w:pPr>
        <w:pStyle w:val="MDPI16affiliation"/>
        <w:ind w:left="720" w:firstLine="0"/>
        <w:jc w:val="center"/>
        <w:rPr>
          <w:rFonts w:ascii="Times New Roman" w:hAnsi="Times New Roman"/>
        </w:rPr>
      </w:pPr>
      <w:r w:rsidRPr="00141866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hyperlink r:id="rId7" w:history="1">
        <w:r w:rsidRPr="0022160E">
          <w:rPr>
            <w:rStyle w:val="Hyperlink"/>
            <w:rFonts w:ascii="Times New Roman" w:hAnsi="Times New Roman"/>
          </w:rPr>
          <w:t>federico.grandi@polimi.it</w:t>
        </w:r>
      </w:hyperlink>
    </w:p>
    <w:p w14:paraId="3D4C76BA" w14:textId="77777777" w:rsidR="00141866" w:rsidRPr="00141866" w:rsidRDefault="00141866" w:rsidP="00AC76CA">
      <w:pPr>
        <w:pStyle w:val="MDPI16affiliation"/>
        <w:ind w:left="0" w:firstLine="0"/>
        <w:jc w:val="center"/>
        <w:rPr>
          <w:rFonts w:ascii="Times New Roman" w:hAnsi="Times New Roman"/>
        </w:rPr>
      </w:pPr>
    </w:p>
    <w:p w14:paraId="0F7BDD29" w14:textId="77777777" w:rsidR="00547FF4" w:rsidRPr="00141866" w:rsidRDefault="00547FF4" w:rsidP="00AC76CA">
      <w:pPr>
        <w:pStyle w:val="MDPI16affiliation"/>
        <w:ind w:left="0" w:firstLine="0"/>
        <w:jc w:val="center"/>
        <w:rPr>
          <w:rFonts w:ascii="Times New Roman" w:hAnsi="Times New Roman"/>
        </w:rPr>
      </w:pPr>
    </w:p>
    <w:p w14:paraId="3BA3B962" w14:textId="77777777" w:rsidR="000611E8" w:rsidRDefault="006023F9" w:rsidP="000611E8">
      <w:pPr>
        <w:pStyle w:val="MDPI31text"/>
        <w:ind w:left="0" w:firstLine="0"/>
        <w:rPr>
          <w:rFonts w:ascii="Times New Roman" w:hAnsi="Times New Roman"/>
          <w:szCs w:val="20"/>
        </w:rPr>
      </w:pPr>
      <w:r w:rsidRPr="006023F9">
        <w:rPr>
          <w:rFonts w:ascii="Times New Roman" w:hAnsi="Times New Roman"/>
          <w:szCs w:val="20"/>
        </w:rPr>
        <w:t>THz radiation, in the region between 0.1 and 10</w:t>
      </w:r>
      <w:r w:rsidR="000611E8">
        <w:rPr>
          <w:rFonts w:ascii="Times New Roman" w:hAnsi="Times New Roman"/>
          <w:szCs w:val="20"/>
        </w:rPr>
        <w:t xml:space="preserve"> </w:t>
      </w:r>
      <w:r w:rsidRPr="006023F9">
        <w:rPr>
          <w:rFonts w:ascii="Times New Roman" w:hAnsi="Times New Roman"/>
          <w:szCs w:val="20"/>
        </w:rPr>
        <w:t xml:space="preserve">THz, </w:t>
      </w:r>
      <w:r w:rsidR="00AC3A4A">
        <w:rPr>
          <w:rFonts w:ascii="Times New Roman" w:hAnsi="Times New Roman"/>
          <w:szCs w:val="20"/>
        </w:rPr>
        <w:t>has attracted</w:t>
      </w:r>
      <w:r w:rsidR="00AC3A4A" w:rsidRPr="006023F9">
        <w:rPr>
          <w:rFonts w:ascii="Times New Roman" w:hAnsi="Times New Roman"/>
          <w:szCs w:val="20"/>
        </w:rPr>
        <w:t xml:space="preserve"> </w:t>
      </w:r>
      <w:r w:rsidRPr="006023F9">
        <w:rPr>
          <w:rFonts w:ascii="Times New Roman" w:hAnsi="Times New Roman"/>
          <w:szCs w:val="20"/>
        </w:rPr>
        <w:t xml:space="preserve">a lot of </w:t>
      </w:r>
      <w:r w:rsidR="00AC3A4A">
        <w:rPr>
          <w:rFonts w:ascii="Times New Roman" w:hAnsi="Times New Roman"/>
          <w:szCs w:val="20"/>
        </w:rPr>
        <w:t>interest</w:t>
      </w:r>
      <w:r w:rsidR="00AC3A4A" w:rsidRPr="006023F9">
        <w:rPr>
          <w:rFonts w:ascii="Times New Roman" w:hAnsi="Times New Roman"/>
          <w:szCs w:val="20"/>
        </w:rPr>
        <w:t xml:space="preserve"> </w:t>
      </w:r>
      <w:r w:rsidRPr="006023F9">
        <w:rPr>
          <w:rFonts w:ascii="Times New Roman" w:hAnsi="Times New Roman"/>
          <w:szCs w:val="20"/>
        </w:rPr>
        <w:t xml:space="preserve">in the last years due to its peculiar interaction properties with matter and the possibility </w:t>
      </w:r>
      <w:r w:rsidR="00AC3A4A">
        <w:rPr>
          <w:rFonts w:ascii="Times New Roman" w:hAnsi="Times New Roman"/>
          <w:szCs w:val="20"/>
        </w:rPr>
        <w:t>of applying</w:t>
      </w:r>
      <w:r w:rsidRPr="006023F9">
        <w:rPr>
          <w:rFonts w:ascii="Times New Roman" w:hAnsi="Times New Roman"/>
          <w:szCs w:val="20"/>
        </w:rPr>
        <w:t xml:space="preserve"> it both in telecommunications and sensing devices</w:t>
      </w:r>
      <w:r w:rsidR="00815DF0">
        <w:rPr>
          <w:rFonts w:ascii="Times New Roman" w:hAnsi="Times New Roman"/>
          <w:szCs w:val="20"/>
        </w:rPr>
        <w:t xml:space="preserve"> [1]</w:t>
      </w:r>
      <w:r w:rsidRPr="006023F9">
        <w:rPr>
          <w:rFonts w:ascii="Times New Roman" w:hAnsi="Times New Roman"/>
          <w:szCs w:val="20"/>
        </w:rPr>
        <w:t>.</w:t>
      </w:r>
      <w:r w:rsidR="000611E8">
        <w:rPr>
          <w:rFonts w:ascii="Times New Roman" w:hAnsi="Times New Roman"/>
          <w:szCs w:val="20"/>
        </w:rPr>
        <w:t xml:space="preserve"> </w:t>
      </w:r>
      <w:r w:rsidR="000611E8">
        <w:rPr>
          <w:rFonts w:ascii="Times New Roman" w:hAnsi="Times New Roman"/>
          <w:szCs w:val="20"/>
        </w:rPr>
        <w:t>O</w:t>
      </w:r>
      <w:r w:rsidR="00AC3A4A">
        <w:rPr>
          <w:rFonts w:ascii="Times New Roman" w:hAnsi="Times New Roman"/>
          <w:szCs w:val="20"/>
        </w:rPr>
        <w:t xml:space="preserve">ne of the current subjects of active investigation </w:t>
      </w:r>
      <w:r w:rsidR="000611E8">
        <w:rPr>
          <w:rFonts w:ascii="Times New Roman" w:hAnsi="Times New Roman"/>
          <w:szCs w:val="20"/>
        </w:rPr>
        <w:t xml:space="preserve">in this field </w:t>
      </w:r>
      <w:r w:rsidR="00AC3A4A">
        <w:rPr>
          <w:rFonts w:ascii="Times New Roman" w:hAnsi="Times New Roman"/>
          <w:szCs w:val="20"/>
        </w:rPr>
        <w:t xml:space="preserve">is the enhancement and optimization of the </w:t>
      </w:r>
      <w:r w:rsidRPr="006023F9">
        <w:rPr>
          <w:rFonts w:ascii="Times New Roman" w:hAnsi="Times New Roman"/>
          <w:szCs w:val="20"/>
        </w:rPr>
        <w:t>interact</w:t>
      </w:r>
      <w:r w:rsidR="00AC3A4A">
        <w:rPr>
          <w:rFonts w:ascii="Times New Roman" w:hAnsi="Times New Roman"/>
          <w:szCs w:val="20"/>
        </w:rPr>
        <w:t>ion between THz radiation and materials for application in these fields.</w:t>
      </w:r>
    </w:p>
    <w:p w14:paraId="1229C375" w14:textId="2C28FDF7" w:rsidR="006023F9" w:rsidRDefault="000611E8" w:rsidP="000611E8">
      <w:pPr>
        <w:pStyle w:val="MDPI31text"/>
        <w:spacing w:after="120"/>
        <w:ind w:left="0" w:firstLine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In this framework, </w:t>
      </w:r>
      <w:r w:rsidR="006023F9" w:rsidRPr="006023F9">
        <w:rPr>
          <w:rFonts w:ascii="Times New Roman" w:hAnsi="Times New Roman"/>
          <w:szCs w:val="20"/>
        </w:rPr>
        <w:t xml:space="preserve">metasurfaces </w:t>
      </w:r>
      <w:r>
        <w:rPr>
          <w:rFonts w:ascii="Times New Roman" w:hAnsi="Times New Roman"/>
          <w:szCs w:val="20"/>
        </w:rPr>
        <w:t xml:space="preserve">have been proposed </w:t>
      </w:r>
      <w:r w:rsidR="006023F9" w:rsidRPr="006023F9">
        <w:rPr>
          <w:rFonts w:ascii="Times New Roman" w:hAnsi="Times New Roman"/>
          <w:szCs w:val="20"/>
        </w:rPr>
        <w:t>for this purpose</w:t>
      </w:r>
      <w:r w:rsidR="00815DF0">
        <w:rPr>
          <w:rFonts w:ascii="Times New Roman" w:hAnsi="Times New Roman"/>
          <w:szCs w:val="20"/>
        </w:rPr>
        <w:t xml:space="preserve"> [2]</w:t>
      </w:r>
      <w:r w:rsidR="006023F9" w:rsidRPr="006023F9">
        <w:rPr>
          <w:rFonts w:ascii="Times New Roman" w:hAnsi="Times New Roman"/>
          <w:szCs w:val="20"/>
        </w:rPr>
        <w:t xml:space="preserve">. Metasurfaces are materials engineered </w:t>
      </w:r>
      <w:r w:rsidR="006023F9" w:rsidRPr="006023F9">
        <w:rPr>
          <w:rFonts w:ascii="Times New Roman" w:hAnsi="Times New Roman"/>
          <w:szCs w:val="20"/>
        </w:rPr>
        <w:t xml:space="preserve">in such a way as to express peculiar electromagnetic properties in a specific range of frequencies of the electromagnetic spectrum. In particular, it is possible to design metamaterials that can strongly interact with THz </w:t>
      </w:r>
      <w:r w:rsidR="001571AB">
        <w:rPr>
          <w:rFonts w:ascii="Times New Roman" w:hAnsi="Times New Roman"/>
          <w:szCs w:val="20"/>
        </w:rPr>
        <w:t>pulses</w:t>
      </w:r>
      <w:r w:rsidR="006023F9" w:rsidRPr="006023F9">
        <w:rPr>
          <w:rFonts w:ascii="Times New Roman" w:hAnsi="Times New Roman"/>
          <w:szCs w:val="20"/>
        </w:rPr>
        <w:t xml:space="preserve"> </w:t>
      </w:r>
      <w:r w:rsidR="001571AB">
        <w:rPr>
          <w:rFonts w:ascii="Times New Roman" w:hAnsi="Times New Roman"/>
          <w:szCs w:val="20"/>
        </w:rPr>
        <w:t>to tune their</w:t>
      </w:r>
      <w:r w:rsidR="006023F9" w:rsidRPr="006023F9">
        <w:rPr>
          <w:rFonts w:ascii="Times New Roman" w:hAnsi="Times New Roman"/>
          <w:szCs w:val="20"/>
        </w:rPr>
        <w:t xml:space="preserve"> frequency, amplitude, and phase</w:t>
      </w:r>
      <w:r w:rsidR="006023F9" w:rsidRPr="006023F9">
        <w:rPr>
          <w:rFonts w:ascii="Times New Roman" w:hAnsi="Times New Roman"/>
          <w:szCs w:val="20"/>
        </w:rPr>
        <w:t>.</w:t>
      </w:r>
    </w:p>
    <w:p w14:paraId="77FCA076" w14:textId="77777777" w:rsidR="000611E8" w:rsidRDefault="00CC310E" w:rsidP="000611E8">
      <w:pPr>
        <w:pStyle w:val="MDPI31text"/>
        <w:ind w:left="0" w:firstLine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We studied</w:t>
      </w:r>
      <w:r w:rsidR="006023F9" w:rsidRPr="006023F9">
        <w:rPr>
          <w:rFonts w:ascii="Times New Roman" w:hAnsi="Times New Roman"/>
          <w:szCs w:val="20"/>
        </w:rPr>
        <w:t xml:space="preserve"> an innovative metadevice </w:t>
      </w:r>
      <w:r w:rsidR="006023F9" w:rsidRPr="006023F9">
        <w:rPr>
          <w:rFonts w:ascii="Times New Roman" w:hAnsi="Times New Roman"/>
          <w:szCs w:val="20"/>
        </w:rPr>
        <w:t xml:space="preserve">configuration that mixes the flexible properties of Split-Ring resonator-based </w:t>
      </w:r>
      <w:r w:rsidR="006023F9" w:rsidRPr="006023F9">
        <w:rPr>
          <w:rFonts w:ascii="Times New Roman" w:hAnsi="Times New Roman"/>
          <w:szCs w:val="20"/>
        </w:rPr>
        <w:t xml:space="preserve">metasurfaces with the dynamic </w:t>
      </w:r>
      <w:r w:rsidR="006023F9" w:rsidRPr="006023F9">
        <w:rPr>
          <w:rFonts w:ascii="Times New Roman" w:hAnsi="Times New Roman"/>
          <w:szCs w:val="20"/>
        </w:rPr>
        <w:t>tuning capabilities of organic semiconductors to achieve an electrically tunable metadevice</w:t>
      </w:r>
      <w:r w:rsidR="00815DF0">
        <w:rPr>
          <w:rFonts w:ascii="Times New Roman" w:hAnsi="Times New Roman"/>
          <w:szCs w:val="20"/>
        </w:rPr>
        <w:t xml:space="preserve"> [3]</w:t>
      </w:r>
      <w:r w:rsidR="006023F9" w:rsidRPr="006023F9">
        <w:rPr>
          <w:rFonts w:ascii="Times New Roman" w:hAnsi="Times New Roman"/>
          <w:szCs w:val="20"/>
        </w:rPr>
        <w:t>.</w:t>
      </w:r>
      <w:r w:rsidR="000611E8">
        <w:rPr>
          <w:rFonts w:ascii="Times New Roman" w:hAnsi="Times New Roman"/>
          <w:szCs w:val="20"/>
        </w:rPr>
        <w:t xml:space="preserve"> </w:t>
      </w:r>
      <w:r w:rsidR="006023F9" w:rsidRPr="006023F9">
        <w:rPr>
          <w:rFonts w:ascii="Times New Roman" w:hAnsi="Times New Roman"/>
          <w:szCs w:val="20"/>
        </w:rPr>
        <w:t xml:space="preserve">This peculiar </w:t>
      </w:r>
      <w:r w:rsidR="006023F9" w:rsidRPr="006023F9">
        <w:rPr>
          <w:rFonts w:ascii="Times New Roman" w:hAnsi="Times New Roman"/>
          <w:szCs w:val="20"/>
        </w:rPr>
        <w:t xml:space="preserve">approach </w:t>
      </w:r>
      <w:r>
        <w:rPr>
          <w:rFonts w:ascii="Times New Roman" w:hAnsi="Times New Roman"/>
          <w:szCs w:val="20"/>
        </w:rPr>
        <w:t>has been</w:t>
      </w:r>
      <w:r w:rsidRPr="006023F9">
        <w:rPr>
          <w:rFonts w:ascii="Times New Roman" w:hAnsi="Times New Roman"/>
          <w:szCs w:val="20"/>
        </w:rPr>
        <w:t xml:space="preserve"> </w:t>
      </w:r>
      <w:r w:rsidR="006023F9" w:rsidRPr="006023F9">
        <w:rPr>
          <w:rFonts w:ascii="Times New Roman" w:hAnsi="Times New Roman"/>
          <w:szCs w:val="20"/>
        </w:rPr>
        <w:t xml:space="preserve">already demonstrated for microwaves </w:t>
      </w:r>
      <w:r w:rsidR="000611E8">
        <w:rPr>
          <w:rFonts w:ascii="Times New Roman" w:hAnsi="Times New Roman"/>
          <w:szCs w:val="20"/>
        </w:rPr>
        <w:t>[4]</w:t>
      </w:r>
      <w:r w:rsidR="000611E8">
        <w:rPr>
          <w:rFonts w:ascii="Times New Roman" w:hAnsi="Times New Roman"/>
          <w:szCs w:val="20"/>
        </w:rPr>
        <w:t xml:space="preserve"> </w:t>
      </w:r>
      <w:r w:rsidR="006023F9" w:rsidRPr="006023F9">
        <w:rPr>
          <w:rFonts w:ascii="Times New Roman" w:hAnsi="Times New Roman"/>
          <w:szCs w:val="20"/>
        </w:rPr>
        <w:t>but there is yet no direct application in the THz spectral region. In particular</w:t>
      </w:r>
      <w:r w:rsidR="000611E8">
        <w:rPr>
          <w:rFonts w:ascii="Times New Roman" w:hAnsi="Times New Roman"/>
          <w:szCs w:val="20"/>
        </w:rPr>
        <w:t>,</w:t>
      </w:r>
      <w:r w:rsidR="006023F9" w:rsidRPr="006023F9">
        <w:rPr>
          <w:rFonts w:ascii="Times New Roman" w:hAnsi="Times New Roman"/>
          <w:szCs w:val="20"/>
        </w:rPr>
        <w:t xml:space="preserve"> thanks </w:t>
      </w:r>
      <w:r w:rsidR="006023F9" w:rsidRPr="006023F9">
        <w:rPr>
          <w:rFonts w:ascii="Times New Roman" w:hAnsi="Times New Roman"/>
          <w:szCs w:val="20"/>
        </w:rPr>
        <w:t xml:space="preserve">to this </w:t>
      </w:r>
      <w:r w:rsidR="001571AB" w:rsidRPr="006023F9">
        <w:rPr>
          <w:rFonts w:ascii="Times New Roman" w:hAnsi="Times New Roman"/>
          <w:szCs w:val="20"/>
        </w:rPr>
        <w:t>device,</w:t>
      </w:r>
      <w:r w:rsidR="006023F9" w:rsidRPr="006023F9">
        <w:rPr>
          <w:rFonts w:ascii="Times New Roman" w:hAnsi="Times New Roman"/>
          <w:szCs w:val="20"/>
        </w:rPr>
        <w:t xml:space="preserve"> we were able to obtain modulation depth of the THz amplitude in the order of 65% at </w:t>
      </w:r>
      <w:r w:rsidR="001571AB">
        <w:rPr>
          <w:rFonts w:ascii="Times New Roman" w:hAnsi="Times New Roman"/>
          <w:szCs w:val="20"/>
        </w:rPr>
        <w:t>a</w:t>
      </w:r>
      <w:r w:rsidR="006023F9" w:rsidRPr="006023F9">
        <w:rPr>
          <w:rFonts w:ascii="Times New Roman" w:hAnsi="Times New Roman"/>
          <w:szCs w:val="20"/>
        </w:rPr>
        <w:t xml:space="preserve"> frequency of </w:t>
      </w:r>
      <w:r w:rsidR="001571AB">
        <w:rPr>
          <w:rFonts w:ascii="Times New Roman" w:hAnsi="Times New Roman"/>
          <w:szCs w:val="20"/>
        </w:rPr>
        <w:t xml:space="preserve">around </w:t>
      </w:r>
      <w:r w:rsidR="006023F9" w:rsidRPr="006023F9">
        <w:rPr>
          <w:rFonts w:ascii="Times New Roman" w:hAnsi="Times New Roman"/>
          <w:szCs w:val="20"/>
        </w:rPr>
        <w:t>0.7</w:t>
      </w:r>
      <w:r w:rsidR="000611E8">
        <w:rPr>
          <w:rFonts w:ascii="Times New Roman" w:hAnsi="Times New Roman"/>
          <w:szCs w:val="20"/>
        </w:rPr>
        <w:t xml:space="preserve"> </w:t>
      </w:r>
      <w:r w:rsidR="006023F9" w:rsidRPr="006023F9">
        <w:rPr>
          <w:rFonts w:ascii="Times New Roman" w:hAnsi="Times New Roman"/>
          <w:szCs w:val="20"/>
        </w:rPr>
        <w:t>THz, as</w:t>
      </w:r>
      <w:r w:rsidR="001571AB">
        <w:rPr>
          <w:rFonts w:ascii="Times New Roman" w:hAnsi="Times New Roman"/>
          <w:szCs w:val="20"/>
        </w:rPr>
        <w:t xml:space="preserve"> shown</w:t>
      </w:r>
      <w:r w:rsidR="006023F9" w:rsidRPr="006023F9">
        <w:rPr>
          <w:rFonts w:ascii="Times New Roman" w:hAnsi="Times New Roman"/>
          <w:szCs w:val="20"/>
        </w:rPr>
        <w:t xml:space="preserve"> in Figure 1.</w:t>
      </w:r>
    </w:p>
    <w:p w14:paraId="304B08B5" w14:textId="7973558F" w:rsidR="006023F9" w:rsidRPr="006023F9" w:rsidRDefault="006023F9" w:rsidP="000611E8">
      <w:pPr>
        <w:pStyle w:val="MDPI31text"/>
        <w:ind w:left="0" w:firstLine="0"/>
        <w:rPr>
          <w:rFonts w:ascii="Times New Roman" w:hAnsi="Times New Roman"/>
          <w:szCs w:val="20"/>
        </w:rPr>
      </w:pPr>
      <w:r w:rsidRPr="006023F9">
        <w:rPr>
          <w:rFonts w:ascii="Times New Roman" w:hAnsi="Times New Roman"/>
          <w:szCs w:val="20"/>
        </w:rPr>
        <w:t xml:space="preserve">These performances </w:t>
      </w:r>
      <w:r w:rsidRPr="006023F9">
        <w:rPr>
          <w:rFonts w:ascii="Times New Roman" w:hAnsi="Times New Roman"/>
          <w:szCs w:val="20"/>
        </w:rPr>
        <w:t xml:space="preserve">are comparable to other </w:t>
      </w:r>
      <w:r w:rsidR="00CC310E">
        <w:rPr>
          <w:rFonts w:ascii="Times New Roman" w:hAnsi="Times New Roman"/>
          <w:szCs w:val="20"/>
        </w:rPr>
        <w:t>state-of-the-art</w:t>
      </w:r>
      <w:r w:rsidRPr="006023F9">
        <w:rPr>
          <w:rFonts w:ascii="Times New Roman" w:hAnsi="Times New Roman"/>
          <w:szCs w:val="20"/>
        </w:rPr>
        <w:t xml:space="preserve"> device</w:t>
      </w:r>
      <w:r w:rsidR="00F81F56">
        <w:rPr>
          <w:rFonts w:ascii="Times New Roman" w:hAnsi="Times New Roman"/>
          <w:szCs w:val="20"/>
        </w:rPr>
        <w:t>s</w:t>
      </w:r>
      <w:r w:rsidR="000611E8">
        <w:rPr>
          <w:rFonts w:ascii="Times New Roman" w:hAnsi="Times New Roman"/>
          <w:szCs w:val="20"/>
        </w:rPr>
        <w:t xml:space="preserve"> </w:t>
      </w:r>
      <w:r w:rsidR="00F81F56">
        <w:rPr>
          <w:rFonts w:ascii="Times New Roman" w:hAnsi="Times New Roman"/>
          <w:szCs w:val="20"/>
        </w:rPr>
        <w:t>[5]</w:t>
      </w:r>
      <w:r w:rsidRPr="006023F9">
        <w:rPr>
          <w:rFonts w:ascii="Times New Roman" w:hAnsi="Times New Roman"/>
          <w:szCs w:val="20"/>
        </w:rPr>
        <w:t xml:space="preserve"> but with the increased benefit of requiring </w:t>
      </w:r>
      <w:r w:rsidR="00CC310E">
        <w:rPr>
          <w:rFonts w:ascii="Times New Roman" w:hAnsi="Times New Roman"/>
          <w:szCs w:val="20"/>
        </w:rPr>
        <w:t xml:space="preserve">a </w:t>
      </w:r>
      <w:r w:rsidRPr="006023F9">
        <w:rPr>
          <w:rFonts w:ascii="Times New Roman" w:hAnsi="Times New Roman"/>
          <w:szCs w:val="20"/>
        </w:rPr>
        <w:t xml:space="preserve">very low </w:t>
      </w:r>
      <w:r w:rsidRPr="006023F9">
        <w:rPr>
          <w:rFonts w:ascii="Times New Roman" w:hAnsi="Times New Roman"/>
          <w:szCs w:val="20"/>
        </w:rPr>
        <w:t>driving electric field, in the order of 1V.</w:t>
      </w:r>
      <w:r w:rsidR="000611E8">
        <w:rPr>
          <w:rFonts w:ascii="Times New Roman" w:hAnsi="Times New Roman"/>
          <w:szCs w:val="20"/>
        </w:rPr>
        <w:t xml:space="preserve"> </w:t>
      </w:r>
      <w:r w:rsidRPr="006023F9">
        <w:rPr>
          <w:rFonts w:ascii="Times New Roman" w:hAnsi="Times New Roman"/>
          <w:szCs w:val="20"/>
        </w:rPr>
        <w:t>This capability comes from the use of so-called Organic Mixed Ion-Electron Conductors (OMIECs)</w:t>
      </w:r>
      <w:r w:rsidR="000611E8">
        <w:rPr>
          <w:rFonts w:ascii="Times New Roman" w:hAnsi="Times New Roman"/>
          <w:szCs w:val="20"/>
        </w:rPr>
        <w:t>,</w:t>
      </w:r>
      <w:r w:rsidRPr="006023F9">
        <w:rPr>
          <w:rFonts w:ascii="Times New Roman" w:hAnsi="Times New Roman"/>
          <w:szCs w:val="20"/>
        </w:rPr>
        <w:t xml:space="preserve"> a class of semiconductors whose permeability to charge carriers can be tuned by applying an external electric field, effectively changing the semiconductor conductivity.</w:t>
      </w:r>
    </w:p>
    <w:p w14:paraId="4999E32B" w14:textId="491BDBCB" w:rsidR="006023F9" w:rsidRPr="006023F9" w:rsidRDefault="000611E8" w:rsidP="000611E8">
      <w:pPr>
        <w:pStyle w:val="MDPI31text"/>
        <w:spacing w:after="120"/>
        <w:ind w:left="0" w:firstLine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Furthermore, w</w:t>
      </w:r>
      <w:r w:rsidR="00CC310E">
        <w:rPr>
          <w:rFonts w:ascii="Times New Roman" w:hAnsi="Times New Roman"/>
          <w:szCs w:val="20"/>
        </w:rPr>
        <w:t>e</w:t>
      </w:r>
      <w:r w:rsidR="006023F9" w:rsidRPr="006023F9">
        <w:rPr>
          <w:rFonts w:ascii="Times New Roman" w:hAnsi="Times New Roman"/>
          <w:szCs w:val="20"/>
        </w:rPr>
        <w:t xml:space="preserve"> test</w:t>
      </w:r>
      <w:r w:rsidR="00CC310E">
        <w:rPr>
          <w:rFonts w:ascii="Times New Roman" w:hAnsi="Times New Roman"/>
          <w:szCs w:val="20"/>
        </w:rPr>
        <w:t>ed</w:t>
      </w:r>
      <w:r w:rsidR="006023F9" w:rsidRPr="006023F9">
        <w:rPr>
          <w:rFonts w:ascii="Times New Roman" w:hAnsi="Times New Roman"/>
          <w:szCs w:val="20"/>
        </w:rPr>
        <w:t xml:space="preserve"> the effectiveness of applying different manufacturing methods </w:t>
      </w:r>
      <w:r w:rsidR="006023F9" w:rsidRPr="006023F9">
        <w:rPr>
          <w:rFonts w:ascii="Times New Roman" w:hAnsi="Times New Roman"/>
          <w:szCs w:val="20"/>
        </w:rPr>
        <w:t>to produce these metadevices, shifting towards a more scalable and cheaper approach exploiting ink-jet printing for both the metasurface and the organic semiconductor.</w:t>
      </w:r>
    </w:p>
    <w:p w14:paraId="215530FB" w14:textId="089EDCD3" w:rsidR="007E3AEC" w:rsidRDefault="007E3AEC" w:rsidP="000611E8">
      <w:pPr>
        <w:pStyle w:val="MDPI31text"/>
        <w:spacing w:after="120"/>
        <w:ind w:left="0" w:firstLine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This work opens the way to the exploitation of </w:t>
      </w:r>
      <w:r>
        <w:rPr>
          <w:rFonts w:ascii="Times New Roman" w:hAnsi="Times New Roman"/>
          <w:szCs w:val="20"/>
        </w:rPr>
        <w:t>OMIECs-based</w:t>
      </w:r>
      <w:r w:rsidRPr="006023F9">
        <w:rPr>
          <w:rFonts w:ascii="Times New Roman" w:hAnsi="Times New Roman"/>
          <w:szCs w:val="20"/>
        </w:rPr>
        <w:t xml:space="preserve"> modulating devices</w:t>
      </w:r>
      <w:r>
        <w:rPr>
          <w:rFonts w:ascii="Times New Roman" w:hAnsi="Times New Roman"/>
          <w:szCs w:val="20"/>
        </w:rPr>
        <w:t xml:space="preserve"> for applications in </w:t>
      </w:r>
      <w:r w:rsidRPr="006023F9">
        <w:rPr>
          <w:rFonts w:ascii="Times New Roman" w:hAnsi="Times New Roman"/>
          <w:szCs w:val="20"/>
        </w:rPr>
        <w:t>telecommunications and sensing</w:t>
      </w:r>
      <w:r>
        <w:rPr>
          <w:rFonts w:ascii="Times New Roman" w:hAnsi="Times New Roman"/>
          <w:szCs w:val="20"/>
        </w:rPr>
        <w:t>.</w:t>
      </w:r>
      <w:r w:rsidR="006023F9" w:rsidRPr="006023F9">
        <w:rPr>
          <w:rFonts w:ascii="Times New Roman" w:hAnsi="Times New Roman"/>
          <w:szCs w:val="20"/>
        </w:rPr>
        <w:t xml:space="preserve"> Moreover, other fields like electronics or bioelectronics could </w:t>
      </w:r>
      <w:r>
        <w:rPr>
          <w:rFonts w:ascii="Times New Roman" w:hAnsi="Times New Roman"/>
          <w:szCs w:val="20"/>
        </w:rPr>
        <w:t>benefit</w:t>
      </w:r>
      <w:r w:rsidR="006023F9" w:rsidRPr="006023F9">
        <w:rPr>
          <w:rFonts w:ascii="Times New Roman" w:hAnsi="Times New Roman"/>
          <w:szCs w:val="20"/>
        </w:rPr>
        <w:t xml:space="preserve"> from the further development of the capabilities and properties of organic semiconductors.</w:t>
      </w:r>
    </w:p>
    <w:p w14:paraId="159E6507" w14:textId="5257B48D" w:rsidR="001D3924" w:rsidRDefault="001D3924" w:rsidP="001D3924">
      <w:pPr>
        <w:pStyle w:val="MDPI13authornames"/>
        <w:spacing w:after="0" w:line="240" w:lineRule="auto"/>
      </w:pPr>
    </w:p>
    <w:p w14:paraId="594724D7" w14:textId="41953EFE" w:rsidR="001D3924" w:rsidRDefault="00785A4D" w:rsidP="001D3924">
      <w:pPr>
        <w:pStyle w:val="MDPI13authornames"/>
        <w:spacing w:after="0" w:line="240" w:lineRule="auto"/>
        <w:jc w:val="center"/>
      </w:pPr>
      <w:r>
        <w:rPr>
          <w:noProof/>
        </w:rPr>
        <w:drawing>
          <wp:inline distT="0" distB="0" distL="0" distR="0" wp14:anchorId="607CE1B7" wp14:editId="219D2D3E">
            <wp:extent cx="3564919" cy="2153528"/>
            <wp:effectExtent l="0" t="0" r="0" b="0"/>
            <wp:docPr id="192758716" name="Immagine 1" descr="Immagine che contiene testo, diagramma, Diagramm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58716" name="Immagine 1" descr="Immagine che contiene testo, diagramma, Diagramma, Carattere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86"/>
                    <a:stretch/>
                  </pic:blipFill>
                  <pic:spPr bwMode="auto">
                    <a:xfrm>
                      <a:off x="0" y="0"/>
                      <a:ext cx="3594618" cy="217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C03DB4" w14:textId="6332741B" w:rsidR="00AC76CA" w:rsidRDefault="001D3924" w:rsidP="006867CF">
      <w:pPr>
        <w:pStyle w:val="MDPI13authornames"/>
        <w:spacing w:after="0" w:line="240" w:lineRule="auto"/>
        <w:rPr>
          <w:rFonts w:ascii="Times New Roman" w:hAnsi="Times New Roman"/>
          <w:b w:val="0"/>
          <w:bCs/>
        </w:rPr>
      </w:pPr>
      <w:r w:rsidRPr="001D3924">
        <w:rPr>
          <w:rFonts w:ascii="Times New Roman" w:hAnsi="Times New Roman"/>
          <w:bCs/>
        </w:rPr>
        <w:t>F</w:t>
      </w:r>
      <w:r w:rsidR="00AC76CA" w:rsidRPr="00AC76CA">
        <w:rPr>
          <w:rFonts w:ascii="Times New Roman" w:hAnsi="Times New Roman"/>
        </w:rPr>
        <w:t xml:space="preserve">igure 1. </w:t>
      </w:r>
      <w:r>
        <w:rPr>
          <w:rFonts w:ascii="Times New Roman" w:hAnsi="Times New Roman"/>
          <w:b w:val="0"/>
          <w:bCs/>
        </w:rPr>
        <w:t xml:space="preserve">Absolute value of THz transmission across the metadevice </w:t>
      </w:r>
      <w:r w:rsidR="007E3AEC">
        <w:rPr>
          <w:rFonts w:ascii="Times New Roman" w:hAnsi="Times New Roman"/>
          <w:b w:val="0"/>
          <w:bCs/>
        </w:rPr>
        <w:t>as a function of</w:t>
      </w:r>
      <w:r>
        <w:rPr>
          <w:rFonts w:ascii="Times New Roman" w:hAnsi="Times New Roman"/>
          <w:b w:val="0"/>
          <w:bCs/>
        </w:rPr>
        <w:t xml:space="preserve"> </w:t>
      </w:r>
      <w:r w:rsidR="007E3AEC">
        <w:rPr>
          <w:rFonts w:ascii="Times New Roman" w:hAnsi="Times New Roman"/>
          <w:b w:val="0"/>
          <w:bCs/>
        </w:rPr>
        <w:t>the</w:t>
      </w:r>
      <w:r>
        <w:rPr>
          <w:rFonts w:ascii="Times New Roman" w:hAnsi="Times New Roman"/>
          <w:b w:val="0"/>
          <w:bCs/>
        </w:rPr>
        <w:t xml:space="preserve"> external driving potential</w:t>
      </w:r>
      <w:r w:rsidR="007E3AEC">
        <w:rPr>
          <w:rFonts w:ascii="Times New Roman" w:hAnsi="Times New Roman"/>
          <w:b w:val="0"/>
          <w:bCs/>
        </w:rPr>
        <w:t>.</w:t>
      </w:r>
    </w:p>
    <w:p w14:paraId="7098F89B" w14:textId="77777777" w:rsidR="001D3924" w:rsidRDefault="001D3924" w:rsidP="001D3924">
      <w:pPr>
        <w:rPr>
          <w:lang w:val="en-US" w:eastAsia="de-DE" w:bidi="en-US"/>
        </w:rPr>
      </w:pPr>
    </w:p>
    <w:p w14:paraId="33A5C4F7" w14:textId="77777777" w:rsidR="001D3924" w:rsidRPr="001D3924" w:rsidRDefault="001D3924" w:rsidP="001D3924">
      <w:pPr>
        <w:rPr>
          <w:lang w:val="en-US" w:eastAsia="de-DE" w:bidi="en-US"/>
        </w:rPr>
      </w:pPr>
    </w:p>
    <w:p w14:paraId="580B8C3C" w14:textId="0012F399" w:rsidR="00240F9B" w:rsidRPr="006023F9" w:rsidRDefault="00AC76CA" w:rsidP="001D3924">
      <w:pPr>
        <w:pStyle w:val="MDPI13authornames"/>
        <w:rPr>
          <w:rFonts w:ascii="Times New Roman" w:hAnsi="Times New Roman"/>
          <w:szCs w:val="20"/>
        </w:rPr>
      </w:pPr>
      <w:r w:rsidRPr="00FA04F1">
        <w:t>References</w:t>
      </w:r>
    </w:p>
    <w:p w14:paraId="6F4A4E25" w14:textId="1FFB7764" w:rsidR="00240F9B" w:rsidRDefault="006867CF" w:rsidP="00240F9B">
      <w:pPr>
        <w:pStyle w:val="MDPI71References"/>
        <w:numPr>
          <w:ilvl w:val="0"/>
          <w:numId w:val="3"/>
        </w:numPr>
        <w:ind w:left="425" w:hanging="425"/>
      </w:pPr>
      <w:r w:rsidRPr="006867CF">
        <w:t>Samizadeh Nikoo, M., &amp; Matioli, E. (2011). Electronic metadevices for terahertz applications. Nature 614, 451–455 (2023). https://doi.org/10.1038/s41586-022-05595-z</w:t>
      </w:r>
      <w:r w:rsidR="00240F9B">
        <w:t xml:space="preserve">Author 1, A.; Author 2, B. Title of the chapter. In </w:t>
      </w:r>
      <w:r w:rsidR="00240F9B">
        <w:rPr>
          <w:i/>
        </w:rPr>
        <w:t>Book Title</w:t>
      </w:r>
      <w:r w:rsidR="00240F9B">
        <w:t>, 2nd ed.; Editor 1, A., Editor 2, B., Eds.; Publisher: Publisher Location, Country, 2007; Volume 3, pp. 154–196.</w:t>
      </w:r>
    </w:p>
    <w:p w14:paraId="1C269685" w14:textId="7480AAB2" w:rsidR="006867CF" w:rsidRDefault="006867CF" w:rsidP="00240F9B">
      <w:pPr>
        <w:pStyle w:val="MDPI71References"/>
        <w:numPr>
          <w:ilvl w:val="0"/>
          <w:numId w:val="3"/>
        </w:numPr>
        <w:ind w:left="425" w:hanging="425"/>
      </w:pPr>
      <w:r w:rsidRPr="006867CF">
        <w:rPr>
          <w:lang w:val="it-IT"/>
        </w:rPr>
        <w:t xml:space="preserve">Degl’Innocenti, R., Lin, H. &amp; Navarro-Cía, M. (2022). </w:t>
      </w:r>
      <w:r w:rsidRPr="006867CF">
        <w:t xml:space="preserve">Recent progress in terahertz metamaterial modulators. Nanophotonics, 11(8), 1485-1514. </w:t>
      </w:r>
      <w:hyperlink r:id="rId9" w:history="1">
        <w:r w:rsidRPr="00E037B6">
          <w:rPr>
            <w:rStyle w:val="Hyperlink"/>
          </w:rPr>
          <w:t>https://doi.org/10.1515/nanoph-2021-0803</w:t>
        </w:r>
      </w:hyperlink>
    </w:p>
    <w:p w14:paraId="5E5AC011" w14:textId="7C875479" w:rsidR="006867CF" w:rsidRDefault="006867CF" w:rsidP="00240F9B">
      <w:pPr>
        <w:pStyle w:val="MDPI71References"/>
        <w:numPr>
          <w:ilvl w:val="0"/>
          <w:numId w:val="3"/>
        </w:numPr>
        <w:ind w:left="425" w:hanging="425"/>
      </w:pPr>
      <w:r w:rsidRPr="006867CF">
        <w:t xml:space="preserve">Chen, H., Padilla, W. J., Zide, J. M. O., Gossard, A. C., Taylor, A. J., &amp; Averitt, R. D. (2006). Active terahertz metamaterial devices. Nature, 444(7119), 597–600. </w:t>
      </w:r>
      <w:hyperlink r:id="rId10" w:history="1">
        <w:r w:rsidRPr="00E037B6">
          <w:rPr>
            <w:rStyle w:val="Hyperlink"/>
          </w:rPr>
          <w:t>https://doi.org/10.1038/nature05343</w:t>
        </w:r>
      </w:hyperlink>
    </w:p>
    <w:p w14:paraId="408C8D8C" w14:textId="78510C8D" w:rsidR="006867CF" w:rsidRDefault="006867CF" w:rsidP="00240F9B">
      <w:pPr>
        <w:pStyle w:val="MDPI71References"/>
        <w:numPr>
          <w:ilvl w:val="0"/>
          <w:numId w:val="3"/>
        </w:numPr>
        <w:ind w:left="425" w:hanging="425"/>
      </w:pPr>
      <w:r w:rsidRPr="006867CF">
        <w:rPr>
          <w:lang w:val="it-IT"/>
        </w:rPr>
        <w:t xml:space="preserve">Bonacchini, G. E., &amp; Omenetto, F. G. (2021). </w:t>
      </w:r>
      <w:r w:rsidRPr="006867CF">
        <w:t xml:space="preserve">Reconfigurable microwave metadevices based on organic electrochemical transistors. Nature Electronics, 4(6), 424–428. </w:t>
      </w:r>
      <w:hyperlink r:id="rId11" w:history="1">
        <w:r w:rsidRPr="00E037B6">
          <w:rPr>
            <w:rStyle w:val="Hyperlink"/>
          </w:rPr>
          <w:t>https://doi.org/10.1038/s41928-021-00590-0</w:t>
        </w:r>
      </w:hyperlink>
    </w:p>
    <w:p w14:paraId="0F3BF4FE" w14:textId="2DFB7DF0" w:rsidR="006867CF" w:rsidRDefault="006867CF" w:rsidP="00240F9B">
      <w:pPr>
        <w:pStyle w:val="MDPI71References"/>
        <w:numPr>
          <w:ilvl w:val="0"/>
          <w:numId w:val="3"/>
        </w:numPr>
        <w:ind w:left="425" w:hanging="425"/>
      </w:pPr>
      <w:r w:rsidRPr="006867CF">
        <w:t xml:space="preserve">Wang, L., Zhang, Y., Guo, X., Chen, T., Liang, H., Hao, X., Hou, X., Kou, W., Zhao, Y., Zhou, T., Liang, S., &amp; Yang, Z. (2019). A Review of THz Modulators with Dynamic Tunable Metasurfaces. Nanomaterials, 9(7), 965. </w:t>
      </w:r>
      <w:hyperlink r:id="rId12" w:history="1">
        <w:r w:rsidRPr="007E3AEC">
          <w:rPr>
            <w:rStyle w:val="Hyperlink"/>
          </w:rPr>
          <w:t>https://doi.org/10.3390/nano9070965</w:t>
        </w:r>
      </w:hyperlink>
    </w:p>
    <w:p w14:paraId="32E9C866" w14:textId="77777777" w:rsidR="00AC76CA" w:rsidRPr="00AC76CA" w:rsidRDefault="00AC76CA" w:rsidP="00AC76CA">
      <w:pPr>
        <w:spacing w:line="240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sectPr w:rsidR="00AC76CA" w:rsidRPr="00AC76CA">
      <w:headerReference w:type="default" r:id="rId13"/>
      <w:pgSz w:w="12240" w:h="15840"/>
      <w:pgMar w:top="1440" w:right="143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EA8E" w14:textId="77777777" w:rsidR="00780C86" w:rsidRDefault="00780C86" w:rsidP="00AC76CA">
      <w:pPr>
        <w:spacing w:line="240" w:lineRule="auto"/>
      </w:pPr>
      <w:r>
        <w:separator/>
      </w:r>
    </w:p>
  </w:endnote>
  <w:endnote w:type="continuationSeparator" w:id="0">
    <w:p w14:paraId="2D0CB1BA" w14:textId="77777777" w:rsidR="00780C86" w:rsidRDefault="00780C86" w:rsidP="00AC7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F3A4" w14:textId="77777777" w:rsidR="00780C86" w:rsidRDefault="00780C86" w:rsidP="00AC76CA">
      <w:pPr>
        <w:spacing w:line="240" w:lineRule="auto"/>
      </w:pPr>
      <w:r>
        <w:separator/>
      </w:r>
    </w:p>
  </w:footnote>
  <w:footnote w:type="continuationSeparator" w:id="0">
    <w:p w14:paraId="34A2EFA2" w14:textId="77777777" w:rsidR="00780C86" w:rsidRDefault="00780C86" w:rsidP="00AC76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F032" w14:textId="6B0B2E7B" w:rsidR="00AC76CA" w:rsidRDefault="00AC76C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030292" wp14:editId="15DE3051">
          <wp:simplePos x="0" y="0"/>
          <wp:positionH relativeFrom="column">
            <wp:posOffset>-655320</wp:posOffset>
          </wp:positionH>
          <wp:positionV relativeFrom="paragraph">
            <wp:posOffset>-304800</wp:posOffset>
          </wp:positionV>
          <wp:extent cx="548640" cy="546532"/>
          <wp:effectExtent l="0" t="0" r="3810" b="6350"/>
          <wp:wrapNone/>
          <wp:docPr id="267165490" name="Picture 2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165490" name="Picture 2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48640" cy="546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6497123" wp14:editId="78444564">
          <wp:simplePos x="0" y="0"/>
          <wp:positionH relativeFrom="column">
            <wp:posOffset>5166360</wp:posOffset>
          </wp:positionH>
          <wp:positionV relativeFrom="paragraph">
            <wp:posOffset>-297180</wp:posOffset>
          </wp:positionV>
          <wp:extent cx="1434997" cy="525780"/>
          <wp:effectExtent l="0" t="0" r="0" b="0"/>
          <wp:wrapNone/>
          <wp:docPr id="504592895" name="Picture 1" descr="A blue line with a sun and a boa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592895" name="Picture 1" descr="A blue line with a sun and a boa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997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3C1"/>
    <w:multiLevelType w:val="hybridMultilevel"/>
    <w:tmpl w:val="AE0C7AF6"/>
    <w:lvl w:ilvl="0" w:tplc="0410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2314"/>
    <w:multiLevelType w:val="hybridMultilevel"/>
    <w:tmpl w:val="CA5A6492"/>
    <w:lvl w:ilvl="0" w:tplc="4DD8BE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641D0"/>
    <w:multiLevelType w:val="hybridMultilevel"/>
    <w:tmpl w:val="B70E1F20"/>
    <w:lvl w:ilvl="0" w:tplc="89D2A7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F46C5"/>
    <w:multiLevelType w:val="hybridMultilevel"/>
    <w:tmpl w:val="81181A5A"/>
    <w:lvl w:ilvl="0" w:tplc="6ECE3B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0122"/>
    <w:multiLevelType w:val="hybridMultilevel"/>
    <w:tmpl w:val="3F40E5BC"/>
    <w:lvl w:ilvl="0" w:tplc="368E3C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345A6"/>
    <w:multiLevelType w:val="hybridMultilevel"/>
    <w:tmpl w:val="75328748"/>
    <w:lvl w:ilvl="0" w:tplc="BEB823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E3F9C"/>
    <w:multiLevelType w:val="hybridMultilevel"/>
    <w:tmpl w:val="4F5E5906"/>
    <w:lvl w:ilvl="0" w:tplc="FBC2E2F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7B5F9D"/>
    <w:multiLevelType w:val="hybridMultilevel"/>
    <w:tmpl w:val="5DD2B4DA"/>
    <w:lvl w:ilvl="0" w:tplc="637623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42C34"/>
    <w:multiLevelType w:val="hybridMultilevel"/>
    <w:tmpl w:val="2EAC081C"/>
    <w:lvl w:ilvl="0" w:tplc="FDA2F9AE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A5D58"/>
    <w:multiLevelType w:val="hybridMultilevel"/>
    <w:tmpl w:val="8F3C6FEA"/>
    <w:lvl w:ilvl="0" w:tplc="D69A6E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C2AF4"/>
    <w:multiLevelType w:val="hybridMultilevel"/>
    <w:tmpl w:val="D61CAC1E"/>
    <w:lvl w:ilvl="0" w:tplc="2968E54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lang w:val="en-US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0082B"/>
    <w:multiLevelType w:val="hybridMultilevel"/>
    <w:tmpl w:val="1B1C8AA4"/>
    <w:lvl w:ilvl="0" w:tplc="462EBBB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0856646">
    <w:abstractNumId w:val="5"/>
  </w:num>
  <w:num w:numId="2" w16cid:durableId="682635354">
    <w:abstractNumId w:val="11"/>
  </w:num>
  <w:num w:numId="3" w16cid:durableId="17341145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284984">
    <w:abstractNumId w:val="9"/>
  </w:num>
  <w:num w:numId="5" w16cid:durableId="1419785975">
    <w:abstractNumId w:val="0"/>
  </w:num>
  <w:num w:numId="6" w16cid:durableId="622226447">
    <w:abstractNumId w:val="4"/>
  </w:num>
  <w:num w:numId="7" w16cid:durableId="415176085">
    <w:abstractNumId w:val="12"/>
  </w:num>
  <w:num w:numId="8" w16cid:durableId="1997755063">
    <w:abstractNumId w:val="10"/>
  </w:num>
  <w:num w:numId="9" w16cid:durableId="1765028248">
    <w:abstractNumId w:val="6"/>
  </w:num>
  <w:num w:numId="10" w16cid:durableId="327904471">
    <w:abstractNumId w:val="8"/>
  </w:num>
  <w:num w:numId="11" w16cid:durableId="1611934703">
    <w:abstractNumId w:val="1"/>
  </w:num>
  <w:num w:numId="12" w16cid:durableId="1100181756">
    <w:abstractNumId w:val="2"/>
  </w:num>
  <w:num w:numId="13" w16cid:durableId="1809081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8C"/>
    <w:rsid w:val="00044382"/>
    <w:rsid w:val="000611E8"/>
    <w:rsid w:val="000B3513"/>
    <w:rsid w:val="00141866"/>
    <w:rsid w:val="001571AB"/>
    <w:rsid w:val="001D3924"/>
    <w:rsid w:val="002053BC"/>
    <w:rsid w:val="00240F9B"/>
    <w:rsid w:val="002705EF"/>
    <w:rsid w:val="00360159"/>
    <w:rsid w:val="003C2D2B"/>
    <w:rsid w:val="003D1E38"/>
    <w:rsid w:val="003D71F9"/>
    <w:rsid w:val="004855C5"/>
    <w:rsid w:val="004C2BF6"/>
    <w:rsid w:val="004F7391"/>
    <w:rsid w:val="00547FF4"/>
    <w:rsid w:val="00590726"/>
    <w:rsid w:val="005E4E8C"/>
    <w:rsid w:val="006023F9"/>
    <w:rsid w:val="006516F5"/>
    <w:rsid w:val="00651D8B"/>
    <w:rsid w:val="006867CF"/>
    <w:rsid w:val="006A498D"/>
    <w:rsid w:val="006A532D"/>
    <w:rsid w:val="006D09F6"/>
    <w:rsid w:val="007771ED"/>
    <w:rsid w:val="00780C86"/>
    <w:rsid w:val="00785A4D"/>
    <w:rsid w:val="007C259D"/>
    <w:rsid w:val="007E0702"/>
    <w:rsid w:val="007E3AEC"/>
    <w:rsid w:val="00815DF0"/>
    <w:rsid w:val="008377F4"/>
    <w:rsid w:val="00944490"/>
    <w:rsid w:val="009E1C67"/>
    <w:rsid w:val="00A555C0"/>
    <w:rsid w:val="00A67DD4"/>
    <w:rsid w:val="00AC3A4A"/>
    <w:rsid w:val="00AC4C1E"/>
    <w:rsid w:val="00AC76CA"/>
    <w:rsid w:val="00B9487F"/>
    <w:rsid w:val="00C03BFF"/>
    <w:rsid w:val="00C30E6E"/>
    <w:rsid w:val="00C5573A"/>
    <w:rsid w:val="00CC310E"/>
    <w:rsid w:val="00DA6F7E"/>
    <w:rsid w:val="00E631AF"/>
    <w:rsid w:val="00F81F56"/>
    <w:rsid w:val="00F8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5E85303"/>
  <w15:docId w15:val="{12D310D7-BE55-F743-BE12-F83CB136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39" w:lineRule="auto"/>
      <w:jc w:val="both"/>
    </w:pPr>
    <w:rPr>
      <w:rFonts w:ascii="Calibri" w:eastAsia="Calibri" w:hAnsi="Calibri" w:cs="Calibri"/>
      <w:color w:val="000000"/>
      <w:sz w:val="22"/>
      <w:lang w:bidi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1C67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072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90726"/>
    <w:pPr>
      <w:ind w:left="720"/>
      <w:contextualSpacing/>
    </w:pPr>
  </w:style>
  <w:style w:type="paragraph" w:customStyle="1" w:styleId="MDPI13authornames">
    <w:name w:val="MDPI_1.3_authornames"/>
    <w:next w:val="Normal"/>
    <w:qFormat/>
    <w:rsid w:val="00AC76CA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  <w:style w:type="paragraph" w:customStyle="1" w:styleId="MDPI16affiliation">
    <w:name w:val="MDPI_1.6_affiliation"/>
    <w:qFormat/>
    <w:rsid w:val="00AC76CA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61Citation">
    <w:name w:val="MDPI_6.1_Citation"/>
    <w:qFormat/>
    <w:rsid w:val="00AC76CA"/>
    <w:pPr>
      <w:adjustRightInd w:val="0"/>
      <w:snapToGrid w:val="0"/>
      <w:spacing w:line="240" w:lineRule="atLeast"/>
      <w:ind w:right="113"/>
    </w:pPr>
    <w:rPr>
      <w:rFonts w:ascii="Palatino Linotype" w:eastAsia="SimSun" w:hAnsi="Palatino Linotype" w:cs="Cordia New"/>
      <w:sz w:val="14"/>
      <w:szCs w:val="22"/>
      <w:lang w:val="en-US" w:eastAsia="zh-CN"/>
    </w:rPr>
  </w:style>
  <w:style w:type="paragraph" w:customStyle="1" w:styleId="MDPI72Copyright">
    <w:name w:val="MDPI_7.2_Copyright"/>
    <w:qFormat/>
    <w:rsid w:val="00AC76CA"/>
    <w:pPr>
      <w:adjustRightInd w:val="0"/>
      <w:snapToGrid w:val="0"/>
      <w:spacing w:before="60" w:line="240" w:lineRule="atLeast"/>
      <w:ind w:right="113"/>
      <w:jc w:val="both"/>
    </w:pPr>
    <w:rPr>
      <w:rFonts w:ascii="Palatino Linotype" w:eastAsia="Times New Roman" w:hAnsi="Palatino Linotype" w:cs="Times New Roman"/>
      <w:noProof/>
      <w:snapToGrid w:val="0"/>
      <w:color w:val="000000"/>
      <w:sz w:val="14"/>
      <w:szCs w:val="20"/>
      <w:lang w:val="en-GB" w:eastAsia="en-GB"/>
    </w:rPr>
  </w:style>
  <w:style w:type="paragraph" w:customStyle="1" w:styleId="MDPI31text">
    <w:name w:val="MDPI_3.1_text"/>
    <w:qFormat/>
    <w:rsid w:val="00AC76CA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21heading1">
    <w:name w:val="MDPI_2.1_heading1"/>
    <w:qFormat/>
    <w:rsid w:val="00AC76CA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szCs w:val="22"/>
      <w:lang w:val="en-US" w:eastAsia="de-DE" w:bidi="en-US"/>
    </w:rPr>
  </w:style>
  <w:style w:type="paragraph" w:customStyle="1" w:styleId="MDPI51figurecaption">
    <w:name w:val="MDPI_5.1_figure_caption"/>
    <w:qFormat/>
    <w:rsid w:val="00AC76CA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customStyle="1" w:styleId="MDPI52figure">
    <w:name w:val="MDPI_5.2_figure"/>
    <w:qFormat/>
    <w:rsid w:val="00AC76CA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22heading2">
    <w:name w:val="MDPI_2.2_heading2"/>
    <w:qFormat/>
    <w:rsid w:val="00AC76CA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szCs w:val="22"/>
      <w:lang w:val="en-US" w:eastAsia="de-DE" w:bidi="en-US"/>
    </w:rPr>
  </w:style>
  <w:style w:type="paragraph" w:customStyle="1" w:styleId="MDPI41tablecaption">
    <w:name w:val="MDPI_4.1_table_caption"/>
    <w:qFormat/>
    <w:rsid w:val="00AC76CA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customStyle="1" w:styleId="MDPI42tablebody">
    <w:name w:val="MDPI_4.2_table_body"/>
    <w:qFormat/>
    <w:rsid w:val="00AC76CA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AC76CA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styleId="Header">
    <w:name w:val="header"/>
    <w:basedOn w:val="Normal"/>
    <w:link w:val="HeaderChar"/>
    <w:uiPriority w:val="99"/>
    <w:unhideWhenUsed/>
    <w:rsid w:val="00AC76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6CA"/>
    <w:rPr>
      <w:rFonts w:ascii="Calibri" w:eastAsia="Calibri" w:hAnsi="Calibri" w:cs="Calibri"/>
      <w:color w:val="000000"/>
      <w:sz w:val="22"/>
      <w:lang w:bidi="it-IT"/>
    </w:rPr>
  </w:style>
  <w:style w:type="paragraph" w:styleId="Footer">
    <w:name w:val="footer"/>
    <w:basedOn w:val="Normal"/>
    <w:link w:val="FooterChar"/>
    <w:uiPriority w:val="99"/>
    <w:unhideWhenUsed/>
    <w:rsid w:val="00AC76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6CA"/>
    <w:rPr>
      <w:rFonts w:ascii="Calibri" w:eastAsia="Calibri" w:hAnsi="Calibri" w:cs="Calibri"/>
      <w:color w:val="000000"/>
      <w:sz w:val="22"/>
      <w:lang w:bidi="it-IT"/>
    </w:rPr>
  </w:style>
  <w:style w:type="paragraph" w:customStyle="1" w:styleId="MDPI71References">
    <w:name w:val="MDPI_7.1_References"/>
    <w:qFormat/>
    <w:rsid w:val="00240F9B"/>
    <w:pPr>
      <w:numPr>
        <w:numId w:val="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character" w:styleId="Hyperlink">
    <w:name w:val="Hyperlink"/>
    <w:basedOn w:val="DefaultParagraphFont"/>
    <w:uiPriority w:val="99"/>
    <w:unhideWhenUsed/>
    <w:rsid w:val="00547F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F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3A4A"/>
    <w:rPr>
      <w:rFonts w:ascii="Calibri" w:eastAsia="Calibri" w:hAnsi="Calibri" w:cs="Calibri"/>
      <w:color w:val="000000"/>
      <w:sz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4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derico.grandi@polimi.it" TargetMode="External"/><Relationship Id="rId12" Type="http://schemas.openxmlformats.org/officeDocument/2006/relationships/hyperlink" Target="https://doi.org/10.3390/nano90709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38/s41928-021-00590-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038/nature053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515/nanoph-2021-080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3985</Characters>
  <Application>Microsoft Office Word</Application>
  <DocSecurity>0</DocSecurity>
  <Lines>56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Grandi</dc:creator>
  <cp:keywords/>
  <cp:lastModifiedBy>CATERINA VOZZI</cp:lastModifiedBy>
  <cp:revision>4</cp:revision>
  <dcterms:created xsi:type="dcterms:W3CDTF">2024-01-13T17:07:00Z</dcterms:created>
  <dcterms:modified xsi:type="dcterms:W3CDTF">2024-01-15T08:47:00Z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7be00845ff83ba22c8dfe9fd710aad858be4294de5a936f939a353f291f4d0ab</vt:lpwstr>
  </property>
</Properties>
</file>